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240" w:lineRule="auto"/>
        <w:ind w:firstLine="0"/>
        <w:jc w:val="center"/>
        <w:outlineLvl w:val="9"/>
      </w:pPr>
      <w:r>
        <w:rPr>
          <w:rFonts w:ascii="方正小标宋_GBK" w:hAnsi="方正小标宋_GBK" w:eastAsia="方正小标宋_GBK" w:cs="方正小标宋_GBK"/>
          <w:sz w:val="52"/>
        </w:rPr>
        <w:t xml:space="preserve"> </w:t>
      </w:r>
    </w:p>
    <w:p>
      <w:pPr>
        <w:spacing w:before="0" w:after="0" w:line="240" w:lineRule="auto"/>
        <w:ind w:firstLine="0"/>
        <w:jc w:val="center"/>
        <w:outlineLvl w:val="9"/>
      </w:pPr>
      <w:r>
        <w:rPr>
          <w:rFonts w:ascii="方正小标宋_GBK" w:hAnsi="方正小标宋_GBK" w:eastAsia="方正小标宋_GBK" w:cs="方正小标宋_GBK"/>
          <w:sz w:val="52"/>
        </w:rPr>
        <w:t xml:space="preserve"> </w:t>
      </w:r>
    </w:p>
    <w:p>
      <w:pPr>
        <w:spacing w:before="0" w:after="0" w:line="240" w:lineRule="auto"/>
        <w:ind w:firstLine="0"/>
        <w:jc w:val="center"/>
        <w:outlineLvl w:val="9"/>
      </w:pPr>
      <w:r>
        <w:rPr>
          <w:rFonts w:ascii="方正小标宋_GBK" w:hAnsi="方正小标宋_GBK" w:eastAsia="方正小标宋_GBK" w:cs="方正小标宋_GBK"/>
          <w:sz w:val="52"/>
        </w:rPr>
        <w:t xml:space="preserve"> </w:t>
      </w:r>
    </w:p>
    <w:p>
      <w:pPr>
        <w:spacing w:before="0" w:after="0" w:line="240" w:lineRule="auto"/>
        <w:ind w:firstLine="0"/>
        <w:jc w:val="center"/>
        <w:outlineLvl w:val="9"/>
      </w:pPr>
      <w:r>
        <w:rPr>
          <w:rFonts w:ascii="方正小标宋_GBK" w:hAnsi="方正小标宋_GBK" w:eastAsia="方正小标宋_GBK" w:cs="方正小标宋_GBK"/>
          <w:sz w:val="72"/>
        </w:rPr>
        <w:t>天津市滨海新区科学技术局</w:t>
      </w:r>
    </w:p>
    <w:p>
      <w:pPr>
        <w:spacing w:before="0" w:after="0" w:line="240" w:lineRule="auto"/>
        <w:ind w:firstLine="0"/>
        <w:jc w:val="center"/>
        <w:outlineLvl w:val="9"/>
      </w:pPr>
      <w:r>
        <w:rPr>
          <w:rFonts w:ascii="方正小标宋_GBK" w:hAnsi="方正小标宋_GBK" w:eastAsia="方正小标宋_GBK" w:cs="方正小标宋_GBK"/>
          <w:sz w:val="72"/>
        </w:rPr>
        <w:t>2026年部门预算绩效文本</w:t>
      </w:r>
    </w:p>
    <w:p>
      <w:pPr>
        <w:spacing w:before="0" w:after="0" w:line="240" w:lineRule="auto"/>
        <w:ind w:firstLine="0"/>
        <w:jc w:val="center"/>
        <w:outlineLvl w:val="9"/>
      </w:pP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方正楷体_GBK" w:hAnsi="方正楷体_GBK" w:eastAsia="方正楷体_GBK" w:cs="方正楷体_GBK"/>
          <w:b/>
          <w:sz w:val="32"/>
        </w:rPr>
        <w:t>天津市滨海新区科学技术局编制</w:t>
      </w:r>
    </w:p>
    <w:p>
      <w:pPr>
        <w:spacing w:before="0" w:after="0" w:line="240" w:lineRule="auto"/>
        <w:ind w:firstLine="0"/>
        <w:jc w:val="center"/>
        <w:outlineLvl w:val="9"/>
        <w:sectPr>
          <w:pgSz w:w="11900" w:h="16840"/>
          <w:pgMar w:top="1984" w:right="1304" w:bottom="1134" w:left="1304" w:header="720" w:footer="720" w:gutter="0"/>
          <w:cols w:space="720" w:num="1"/>
          <w:titlePg/>
        </w:sectPr>
      </w:pPr>
      <w:r>
        <w:rPr>
          <w:rFonts w:ascii="方正楷体_GBK" w:hAnsi="方正楷体_GBK" w:eastAsia="方正楷体_GBK" w:cs="方正楷体_GBK"/>
          <w:b/>
          <w:sz w:val="32"/>
        </w:rPr>
        <w:t>审核</w:t>
      </w:r>
    </w:p>
    <w:p>
      <w:pPr>
        <w:tabs>
          <w:tab w:val="left" w:pos="2898"/>
        </w:tabs>
        <w:bidi w:val="0"/>
        <w:jc w:val="left"/>
        <w:rPr>
          <w:rFonts w:hint="default"/>
          <w:lang w:val="en" w:eastAsia="uk-UA"/>
        </w:rPr>
        <w:sectPr>
          <w:pgSz w:w="11900" w:h="16840"/>
          <w:pgMar w:top="1984" w:right="1304" w:bottom="1134" w:left="1304" w:header="720" w:footer="720" w:gutter="0"/>
          <w:cols w:space="720" w:num="1"/>
          <w:titlePg/>
        </w:sectPr>
      </w:pPr>
      <w:bookmarkStart w:id="10" w:name="_GoBack"/>
      <w:bookmarkEnd w:id="10"/>
      <w:r>
        <w:rPr>
          <w:lang w:val="en" w:eastAsia="uk-UA"/>
        </w:rPr>
        <w:tab/>
      </w:r>
    </w:p>
    <w:p>
      <w:pPr>
        <w:spacing w:before="0" w:after="0" w:line="240" w:lineRule="auto"/>
        <w:ind w:firstLine="0"/>
        <w:jc w:val="center"/>
        <w:outlineLvl w:val="9"/>
      </w:pPr>
      <w:r>
        <w:rPr>
          <w:rFonts w:ascii="方正小标宋_GBK" w:hAnsi="方正小标宋_GBK" w:eastAsia="方正小标宋_GBK" w:cs="方正小标宋_GBK"/>
          <w:sz w:val="44"/>
        </w:rPr>
        <w:t xml:space="preserve"> </w:t>
      </w:r>
    </w:p>
    <w:p>
      <w:pPr>
        <w:spacing w:before="0" w:after="0" w:line="240" w:lineRule="auto"/>
        <w:ind w:firstLine="0"/>
        <w:jc w:val="center"/>
        <w:outlineLvl w:val="9"/>
      </w:pPr>
      <w:r>
        <w:rPr>
          <w:rFonts w:ascii="方正小标宋_GBK" w:hAnsi="方正小标宋_GBK" w:eastAsia="方正小标宋_GBK" w:cs="方正小标宋_GBK"/>
          <w:sz w:val="44"/>
        </w:rPr>
        <w:t>第一部分</w:t>
      </w:r>
    </w:p>
    <w:p>
      <w:pPr>
        <w:spacing w:before="0" w:after="0" w:line="240" w:lineRule="auto"/>
        <w:ind w:firstLine="0"/>
        <w:jc w:val="center"/>
        <w:outlineLvl w:val="0"/>
      </w:pPr>
      <w:r>
        <w:rPr>
          <w:rFonts w:ascii="方正小标宋_GBK" w:hAnsi="方正小标宋_GBK" w:eastAsia="方正小标宋_GBK" w:cs="方正小标宋_GBK"/>
          <w:sz w:val="44"/>
        </w:rPr>
        <w:t>部门整体绩效目标</w:t>
      </w:r>
    </w:p>
    <w:p>
      <w:pPr>
        <w:spacing w:before="0" w:after="0" w:line="240" w:lineRule="auto"/>
        <w:ind w:firstLine="0"/>
        <w:jc w:val="center"/>
        <w:outlineLvl w:val="9"/>
      </w:pPr>
      <w:r>
        <w:rPr>
          <w:rFonts w:ascii="方正小标宋_GBK" w:hAnsi="方正小标宋_GBK" w:eastAsia="方正小标宋_GBK" w:cs="方正小标宋_GBK"/>
          <w:sz w:val="44"/>
        </w:rPr>
        <w:t xml:space="preserve"> </w:t>
      </w:r>
    </w:p>
    <w:p>
      <w:pPr>
        <w:spacing w:before="10" w:after="10"/>
        <w:ind w:firstLine="560"/>
        <w:jc w:val="left"/>
        <w:outlineLvl w:val="1"/>
      </w:pPr>
      <w:bookmarkStart w:id="0" w:name="_Toc_2_2_0000000001"/>
      <w:r>
        <w:rPr>
          <w:rFonts w:ascii="方正黑体_GBK" w:hAnsi="方正黑体_GBK" w:eastAsia="方正黑体_GBK" w:cs="方正黑体_GBK"/>
          <w:sz w:val="28"/>
        </w:rPr>
        <w:t>一、总体绩效目标</w:t>
      </w:r>
      <w:bookmarkEnd w:id="0"/>
    </w:p>
    <w:p>
      <w:pPr>
        <w:pStyle w:val="8"/>
        <w:rPr>
          <w:rFonts w:hint="eastAsia" w:eastAsia="方正仿宋_GBK"/>
          <w:lang w:val="en" w:eastAsia="zh-CN"/>
        </w:rPr>
      </w:pPr>
      <w:r>
        <w:rPr>
          <w:rFonts w:hint="eastAsia"/>
        </w:rPr>
        <w:t>区科技局以扎实推进国务院进一步支持滨海新区高质量发展若干措施、滨海新区高质量发展支撑引领行动见行见效为主线，加强创新资源统筹，大力培育发展新质生产力，聚焦科技创新赋能区域高质量发展核心任务，强化科技服务效能，优化创新生态环境，推动各项科技工作提质增效、落地落细，确保圆满完成年度各项既定工作任务，为滨海新区高质量发展提供坚实科技支撑。</w:t>
      </w:r>
    </w:p>
    <w:p>
      <w:pPr>
        <w:spacing w:before="10" w:after="10"/>
        <w:ind w:firstLine="560"/>
        <w:jc w:val="left"/>
        <w:outlineLvl w:val="1"/>
      </w:pPr>
      <w:bookmarkStart w:id="1" w:name="_Toc_2_2_0000000002"/>
      <w:r>
        <w:rPr>
          <w:rFonts w:ascii="方正黑体_GBK" w:hAnsi="方正黑体_GBK" w:eastAsia="方正黑体_GBK" w:cs="方正黑体_GBK"/>
          <w:sz w:val="28"/>
        </w:rPr>
        <w:t>二、分项绩效目标</w:t>
      </w:r>
      <w:bookmarkEnd w:id="1"/>
    </w:p>
    <w:p>
      <w:pPr>
        <w:pStyle w:val="9"/>
        <w:rPr>
          <w:rFonts w:hint="eastAsia"/>
        </w:rPr>
      </w:pPr>
      <w:r>
        <w:rPr>
          <w:rFonts w:hint="eastAsia"/>
        </w:rPr>
        <w:t>行政运转保障：保障科技局机关的正常运转及日常工作的顺利开展，优化行政服务流程，提升行政效能；厉行节约，严控一般性支出和“三公”经费，严格落实勤俭节约要求，合理配置行政资源，降低行政运行成本。</w:t>
      </w:r>
    </w:p>
    <w:p>
      <w:pPr>
        <w:pStyle w:val="9"/>
        <w:rPr>
          <w:rFonts w:hint="eastAsia" w:eastAsia="方正仿宋_GBK"/>
          <w:lang w:val="en-US" w:eastAsia="zh-CN"/>
        </w:rPr>
      </w:pPr>
      <w:r>
        <w:rPr>
          <w:rFonts w:hint="eastAsia"/>
        </w:rPr>
        <w:t>项目推进落实：圆满完成各类科技项目绩效目标，规范项目立项、实施、验收全流程管理，强化项目过程管控，提升项目实施质量和效益，确保项目成果能够有效转化应用，助力培育新质生产力、推动科技创新发展。</w:t>
      </w:r>
      <w:r>
        <w:rPr>
          <w:rFonts w:hint="eastAsia"/>
          <w:lang w:val="en-US" w:eastAsia="zh-CN"/>
        </w:rPr>
        <w:t>圆满完成项目绩效目标。</w:t>
      </w:r>
    </w:p>
    <w:p>
      <w:pPr>
        <w:spacing w:before="10" w:after="10"/>
        <w:ind w:firstLine="560"/>
        <w:jc w:val="left"/>
        <w:outlineLvl w:val="1"/>
      </w:pPr>
      <w:bookmarkStart w:id="2" w:name="_Toc_2_2_0000000003"/>
      <w:r>
        <w:rPr>
          <w:rFonts w:ascii="方正黑体_GBK" w:hAnsi="方正黑体_GBK" w:eastAsia="方正黑体_GBK" w:cs="方正黑体_GBK"/>
          <w:sz w:val="28"/>
        </w:rPr>
        <w:t>三、工作保障措施</w:t>
      </w:r>
      <w:bookmarkEnd w:id="2"/>
    </w:p>
    <w:p>
      <w:pPr>
        <w:pStyle w:val="10"/>
      </w:pPr>
      <w:r>
        <w:rPr>
          <w:rFonts w:hint="eastAsia"/>
        </w:rPr>
        <w:t>统筹推进各项绩效目标落实工作，督促检查和综合协调研究解决绩效目标推进过程中存在的问题。实行“一把手”负总责、分管领导具体抓、各科室分工协作的工作机制，将总体绩效目标和分项绩效目标层层分解，明确工作任务、责任分工、时间节点和工作标准，形成“人人有责任、事事有落实、件件有回音”的工作格局，确保各项目标任务落地到人、压实到位。</w:t>
      </w:r>
    </w:p>
    <w:p>
      <w:pPr>
        <w:spacing w:before="0" w:after="0" w:line="240" w:lineRule="auto"/>
        <w:ind w:firstLine="0"/>
        <w:jc w:val="center"/>
        <w:outlineLvl w:val="9"/>
        <w:sectPr>
          <w:footerReference r:id="rId3" w:type="default"/>
          <w:footerReference r:id="rId4" w:type="even"/>
          <w:pgSz w:w="11900" w:h="16840"/>
          <w:pgMar w:top="1984" w:right="1304" w:bottom="1134" w:left="1304" w:header="720" w:footer="720" w:gutter="0"/>
          <w:cols w:space="720" w:num="1"/>
        </w:sectPr>
      </w:pPr>
      <w:r>
        <w:rPr>
          <w:rFonts w:ascii="方正书宋_GBK" w:hAnsi="方正书宋_GBK" w:eastAsia="方正书宋_GBK" w:cs="方正书宋_GBK"/>
          <w:sz w:val="21"/>
        </w:rPr>
        <w:t xml:space="preserve"> </w:t>
      </w:r>
    </w:p>
    <w:p>
      <w:pPr>
        <w:spacing w:before="0" w:after="0" w:line="240" w:lineRule="auto"/>
        <w:ind w:firstLine="0"/>
        <w:jc w:val="center"/>
        <w:outlineLvl w:val="9"/>
      </w:pPr>
      <w:r>
        <w:rPr>
          <w:rFonts w:ascii="方正小标宋_GBK" w:hAnsi="方正小标宋_GBK" w:eastAsia="方正小标宋_GBK" w:cs="方正小标宋_GBK"/>
          <w:sz w:val="52"/>
        </w:rPr>
        <w:t xml:space="preserve"> </w:t>
      </w:r>
    </w:p>
    <w:p>
      <w:pPr>
        <w:spacing w:before="0" w:after="0" w:line="240" w:lineRule="auto"/>
        <w:ind w:firstLine="0"/>
        <w:jc w:val="center"/>
        <w:outlineLvl w:val="9"/>
      </w:pPr>
      <w:r>
        <w:rPr>
          <w:rFonts w:ascii="方正小标宋_GBK" w:hAnsi="方正小标宋_GBK" w:eastAsia="方正小标宋_GBK" w:cs="方正小标宋_GBK"/>
          <w:sz w:val="52"/>
        </w:rPr>
        <w:t xml:space="preserve"> </w:t>
      </w:r>
    </w:p>
    <w:p>
      <w:pPr>
        <w:spacing w:before="0" w:after="0" w:line="240" w:lineRule="auto"/>
        <w:ind w:firstLine="0"/>
        <w:jc w:val="center"/>
        <w:outlineLvl w:val="9"/>
      </w:pPr>
      <w:r>
        <w:rPr>
          <w:rFonts w:ascii="方正小标宋_GBK" w:hAnsi="方正小标宋_GBK" w:eastAsia="方正小标宋_GBK" w:cs="方正小标宋_GBK"/>
          <w:sz w:val="52"/>
        </w:rPr>
        <w:t xml:space="preserve"> </w:t>
      </w:r>
    </w:p>
    <w:p>
      <w:pPr>
        <w:spacing w:before="0" w:after="0" w:line="240" w:lineRule="auto"/>
        <w:ind w:firstLine="0"/>
        <w:jc w:val="center"/>
        <w:outlineLvl w:val="9"/>
      </w:pPr>
      <w:r>
        <w:rPr>
          <w:rFonts w:ascii="方正小标宋_GBK" w:hAnsi="方正小标宋_GBK" w:eastAsia="方正小标宋_GBK" w:cs="方正小标宋_GBK"/>
          <w:sz w:val="44"/>
        </w:rPr>
        <w:t>第二部分</w:t>
      </w:r>
    </w:p>
    <w:p>
      <w:pPr>
        <w:spacing w:before="0" w:after="0" w:line="240" w:lineRule="auto"/>
        <w:ind w:firstLine="0"/>
        <w:jc w:val="center"/>
        <w:outlineLvl w:val="9"/>
      </w:pPr>
      <w:r>
        <w:rPr>
          <w:rFonts w:ascii="方正小标宋_GBK" w:hAnsi="方正小标宋_GBK" w:eastAsia="方正小标宋_GBK" w:cs="方正小标宋_GBK"/>
          <w:sz w:val="44"/>
        </w:rPr>
        <w:t xml:space="preserve"> </w:t>
      </w:r>
    </w:p>
    <w:p>
      <w:pPr>
        <w:spacing w:before="0" w:after="0" w:line="240" w:lineRule="auto"/>
        <w:ind w:firstLine="0"/>
        <w:jc w:val="center"/>
        <w:outlineLvl w:val="0"/>
      </w:pPr>
      <w:r>
        <w:rPr>
          <w:rFonts w:ascii="方正小标宋_GBK" w:hAnsi="方正小标宋_GBK" w:eastAsia="方正小标宋_GBK" w:cs="方正小标宋_GBK"/>
          <w:sz w:val="44"/>
        </w:rPr>
        <w:t>预算项目绩效目标</w:t>
      </w:r>
    </w:p>
    <w:p>
      <w:pPr>
        <w:spacing w:before="0" w:after="0" w:line="240" w:lineRule="auto"/>
        <w:ind w:firstLine="0"/>
        <w:jc w:val="center"/>
        <w:outlineLvl w:val="9"/>
        <w:sectPr>
          <w:pgSz w:w="11900" w:h="16840"/>
          <w:pgMar w:top="1984" w:right="1304" w:bottom="1134" w:left="1304" w:header="720" w:footer="720" w:gutter="0"/>
          <w:cols w:space="720" w:num="1"/>
        </w:sectPr>
      </w:pPr>
      <w:r>
        <w:rPr>
          <w:rFonts w:ascii="方正书宋_GBK" w:hAnsi="方正书宋_GBK" w:eastAsia="方正书宋_GBK" w:cs="方正书宋_GBK"/>
          <w:sz w:val="21"/>
        </w:rPr>
        <w:t xml:space="preserve"> </w:t>
      </w: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 w:name="_Toc_4_4_0000000004"/>
      <w:r>
        <w:rPr>
          <w:rFonts w:ascii="方正仿宋_GBK" w:hAnsi="方正仿宋_GBK" w:eastAsia="方正仿宋_GBK" w:cs="方正仿宋_GBK"/>
          <w:sz w:val="28"/>
        </w:rPr>
        <w:t>1.2022年度国家高企认定和2021年度暂缓拨付国家高企认定区本级配套奖励资金（高质量发展专项资金）绩效目标表</w:t>
      </w:r>
      <w:bookmarkEnd w:id="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331101天津市滨海新区科学技术局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2022年度国家高企认定和2021年度暂缓拨付国家高企认定区本级配套奖励资金（高质量发展专项资金）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800000.00</w:t>
            </w:r>
          </w:p>
        </w:tc>
        <w:tc>
          <w:tcPr>
            <w:tcW w:w="1587" w:type="dxa"/>
            <w:vAlign w:val="center"/>
          </w:tcPr>
          <w:p>
            <w:pPr>
              <w:pStyle w:val="14"/>
            </w:pPr>
            <w:r>
              <w:t>其中：财政    资金</w:t>
            </w:r>
          </w:p>
        </w:tc>
        <w:tc>
          <w:tcPr>
            <w:tcW w:w="1843" w:type="dxa"/>
            <w:vAlign w:val="center"/>
          </w:tcPr>
          <w:p>
            <w:pPr>
              <w:pStyle w:val="13"/>
            </w:pPr>
            <w:r>
              <w:t>800000.00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通过拨付2022年度国家高新技术企业和2021年暂缓拨付高新技术企业奖励资金，持续促进街镇高新技术企业高质量发展。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1.通过拨付2022年度国家高新技术企业和2021年暂缓拨付高新技术企业奖励资金，持续促进街镇高新技术企业高质量发展。</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拨付首次认定高新技术企业数量</w:t>
            </w:r>
          </w:p>
        </w:tc>
        <w:tc>
          <w:tcPr>
            <w:tcW w:w="3430" w:type="dxa"/>
            <w:vAlign w:val="center"/>
          </w:tcPr>
          <w:p>
            <w:pPr>
              <w:pStyle w:val="13"/>
            </w:pPr>
            <w:r>
              <w:t>拨付首次认定高新技术企业数量</w:t>
            </w:r>
          </w:p>
        </w:tc>
        <w:tc>
          <w:tcPr>
            <w:tcW w:w="2551" w:type="dxa"/>
            <w:vAlign w:val="center"/>
          </w:tcPr>
          <w:p>
            <w:pPr>
              <w:pStyle w:val="13"/>
            </w:pPr>
            <w:r>
              <w:t>4家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拨付重新认定高新技术企业数量</w:t>
            </w:r>
          </w:p>
        </w:tc>
        <w:tc>
          <w:tcPr>
            <w:tcW w:w="3430" w:type="dxa"/>
            <w:vAlign w:val="center"/>
          </w:tcPr>
          <w:p>
            <w:pPr>
              <w:pStyle w:val="13"/>
            </w:pPr>
            <w:r>
              <w:t>拨付重新认定高新技术企业数量</w:t>
            </w:r>
          </w:p>
        </w:tc>
        <w:tc>
          <w:tcPr>
            <w:tcW w:w="2551" w:type="dxa"/>
            <w:vAlign w:val="center"/>
          </w:tcPr>
          <w:p>
            <w:pPr>
              <w:pStyle w:val="13"/>
            </w:pPr>
            <w:r>
              <w:t>2家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符合条件的企业拨付比例</w:t>
            </w:r>
          </w:p>
        </w:tc>
        <w:tc>
          <w:tcPr>
            <w:tcW w:w="3430" w:type="dxa"/>
            <w:vAlign w:val="center"/>
          </w:tcPr>
          <w:p>
            <w:pPr>
              <w:pStyle w:val="13"/>
            </w:pPr>
            <w:r>
              <w:t>符合条件的企业拨付比例</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 xml:space="preserve"> 资金拨付完成时间</w:t>
            </w:r>
          </w:p>
        </w:tc>
        <w:tc>
          <w:tcPr>
            <w:tcW w:w="3430" w:type="dxa"/>
            <w:vAlign w:val="center"/>
          </w:tcPr>
          <w:p>
            <w:pPr>
              <w:pStyle w:val="13"/>
            </w:pPr>
            <w:r>
              <w:t xml:space="preserve"> 资金拨付完成时间</w:t>
            </w:r>
          </w:p>
        </w:tc>
        <w:tc>
          <w:tcPr>
            <w:tcW w:w="2551" w:type="dxa"/>
            <w:vAlign w:val="center"/>
          </w:tcPr>
          <w:p>
            <w:pPr>
              <w:pStyle w:val="13"/>
            </w:pPr>
            <w:r>
              <w:t>2026年12月31日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首次认定高企上年度销售收入5000万以下奖励标准</w:t>
            </w:r>
          </w:p>
        </w:tc>
        <w:tc>
          <w:tcPr>
            <w:tcW w:w="3430" w:type="dxa"/>
            <w:vAlign w:val="center"/>
          </w:tcPr>
          <w:p>
            <w:pPr>
              <w:pStyle w:val="13"/>
            </w:pPr>
            <w:r>
              <w:t>15万元</w:t>
            </w:r>
          </w:p>
        </w:tc>
        <w:tc>
          <w:tcPr>
            <w:tcW w:w="2551" w:type="dxa"/>
            <w:vAlign w:val="center"/>
          </w:tcPr>
          <w:p>
            <w:pPr>
              <w:pStyle w:val="13"/>
            </w:pPr>
            <w:r>
              <w:t>15万元/家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 xml:space="preserve"> 重新认定高企奖励标准</w:t>
            </w:r>
          </w:p>
        </w:tc>
        <w:tc>
          <w:tcPr>
            <w:tcW w:w="3430" w:type="dxa"/>
            <w:vAlign w:val="center"/>
          </w:tcPr>
          <w:p>
            <w:pPr>
              <w:pStyle w:val="13"/>
            </w:pPr>
            <w:r>
              <w:t>10万元</w:t>
            </w:r>
          </w:p>
        </w:tc>
        <w:tc>
          <w:tcPr>
            <w:tcW w:w="2551" w:type="dxa"/>
            <w:vAlign w:val="center"/>
          </w:tcPr>
          <w:p>
            <w:pPr>
              <w:pStyle w:val="13"/>
            </w:pPr>
            <w:r>
              <w:t>10万元/家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推动街镇高新技术企业高质量发展</w:t>
            </w:r>
          </w:p>
        </w:tc>
        <w:tc>
          <w:tcPr>
            <w:tcW w:w="3430" w:type="dxa"/>
            <w:vAlign w:val="center"/>
          </w:tcPr>
          <w:p>
            <w:pPr>
              <w:pStyle w:val="13"/>
            </w:pPr>
            <w:r>
              <w:t>推动街镇高新技术企业高质量发展</w:t>
            </w:r>
          </w:p>
        </w:tc>
        <w:tc>
          <w:tcPr>
            <w:tcW w:w="2551" w:type="dxa"/>
            <w:vAlign w:val="center"/>
          </w:tcPr>
          <w:p>
            <w:pPr>
              <w:pStyle w:val="13"/>
            </w:pPr>
            <w:r>
              <w:t>有效推动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拨付企业满意度</w:t>
            </w:r>
          </w:p>
        </w:tc>
        <w:tc>
          <w:tcPr>
            <w:tcW w:w="3430" w:type="dxa"/>
            <w:vAlign w:val="center"/>
          </w:tcPr>
          <w:p>
            <w:pPr>
              <w:pStyle w:val="13"/>
            </w:pPr>
            <w:r>
              <w:t>≥90%</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4" w:name="_Toc_4_4_0000000005"/>
      <w:r>
        <w:rPr>
          <w:rFonts w:ascii="方正仿宋_GBK" w:hAnsi="方正仿宋_GBK" w:eastAsia="方正仿宋_GBK" w:cs="方正仿宋_GBK"/>
          <w:sz w:val="28"/>
        </w:rPr>
        <w:t>2.2025年人才发展资金-技术经理人培训（高质量发展资金）绩效目标表</w:t>
      </w:r>
      <w:bookmarkEnd w:id="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331101天津市滨海新区科学技术局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2025年人才发展资金-技术经理人培训（高质量发展资金）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90000.00</w:t>
            </w:r>
          </w:p>
        </w:tc>
        <w:tc>
          <w:tcPr>
            <w:tcW w:w="1587" w:type="dxa"/>
            <w:vAlign w:val="center"/>
          </w:tcPr>
          <w:p>
            <w:pPr>
              <w:pStyle w:val="14"/>
            </w:pPr>
            <w:r>
              <w:t>其中：财政    资金</w:t>
            </w:r>
          </w:p>
        </w:tc>
        <w:tc>
          <w:tcPr>
            <w:tcW w:w="1843" w:type="dxa"/>
            <w:vAlign w:val="center"/>
          </w:tcPr>
          <w:p>
            <w:pPr>
              <w:pStyle w:val="13"/>
            </w:pPr>
            <w:r>
              <w:t>90000.00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PrEx>
        <w:trPr>
          <w:trHeight w:val="369" w:hRule="atLeast"/>
          <w:jc w:val="center"/>
        </w:trPr>
        <w:tc>
          <w:tcPr>
            <w:tcW w:w="1276" w:type="dxa"/>
            <w:vMerge w:val="continue"/>
          </w:tcPr>
          <w:p/>
        </w:tc>
        <w:tc>
          <w:tcPr>
            <w:tcW w:w="8589" w:type="dxa"/>
            <w:gridSpan w:val="6"/>
            <w:vAlign w:val="center"/>
          </w:tcPr>
          <w:p>
            <w:pPr>
              <w:pStyle w:val="13"/>
            </w:pPr>
            <w:r>
              <w:t>为新区技术经理人开展培训，提高技术经理人才能力水平</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1.为新区技术经理人开展培训，提高技术经理人才能力水平</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 xml:space="preserve"> 培训人数</w:t>
            </w:r>
          </w:p>
        </w:tc>
        <w:tc>
          <w:tcPr>
            <w:tcW w:w="3430" w:type="dxa"/>
            <w:vAlign w:val="center"/>
          </w:tcPr>
          <w:p>
            <w:pPr>
              <w:pStyle w:val="13"/>
            </w:pPr>
            <w:r>
              <w:t xml:space="preserve"> 培训人数</w:t>
            </w:r>
          </w:p>
        </w:tc>
        <w:tc>
          <w:tcPr>
            <w:tcW w:w="2551" w:type="dxa"/>
            <w:vAlign w:val="center"/>
          </w:tcPr>
          <w:p>
            <w:pPr>
              <w:pStyle w:val="13"/>
            </w:pPr>
            <w:r>
              <w:t>100人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培训考核达标率</w:t>
            </w:r>
          </w:p>
        </w:tc>
        <w:tc>
          <w:tcPr>
            <w:tcW w:w="3430" w:type="dxa"/>
            <w:vAlign w:val="center"/>
          </w:tcPr>
          <w:p>
            <w:pPr>
              <w:pStyle w:val="13"/>
            </w:pPr>
            <w:r>
              <w:t>培训考核达标率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 xml:space="preserve"> 培训完成时间</w:t>
            </w:r>
          </w:p>
        </w:tc>
        <w:tc>
          <w:tcPr>
            <w:tcW w:w="3430" w:type="dxa"/>
            <w:vAlign w:val="center"/>
          </w:tcPr>
          <w:p>
            <w:pPr>
              <w:pStyle w:val="13"/>
            </w:pPr>
            <w:r>
              <w:t xml:space="preserve"> 培训完成时间</w:t>
            </w:r>
          </w:p>
        </w:tc>
        <w:tc>
          <w:tcPr>
            <w:tcW w:w="2551" w:type="dxa"/>
            <w:vAlign w:val="center"/>
          </w:tcPr>
          <w:p>
            <w:pPr>
              <w:pStyle w:val="13"/>
            </w:pPr>
            <w:r>
              <w:t>2026年12月31日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培训成本</w:t>
            </w:r>
          </w:p>
        </w:tc>
        <w:tc>
          <w:tcPr>
            <w:tcW w:w="3430" w:type="dxa"/>
            <w:vAlign w:val="center"/>
          </w:tcPr>
          <w:p>
            <w:pPr>
              <w:pStyle w:val="13"/>
            </w:pPr>
            <w:r>
              <w:t>培训成本</w:t>
            </w:r>
          </w:p>
        </w:tc>
        <w:tc>
          <w:tcPr>
            <w:tcW w:w="2551" w:type="dxa"/>
            <w:vAlign w:val="center"/>
          </w:tcPr>
          <w:p>
            <w:pPr>
              <w:pStyle w:val="13"/>
            </w:pPr>
            <w:r>
              <w:t>9万元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 xml:space="preserve"> 促进技术转移，人才水平持续提升</w:t>
            </w:r>
          </w:p>
        </w:tc>
        <w:tc>
          <w:tcPr>
            <w:tcW w:w="3430" w:type="dxa"/>
            <w:vAlign w:val="center"/>
          </w:tcPr>
          <w:p>
            <w:pPr>
              <w:pStyle w:val="13"/>
            </w:pPr>
            <w:r>
              <w:t xml:space="preserve"> 促进技术转移，人才水平持续提升</w:t>
            </w:r>
          </w:p>
        </w:tc>
        <w:tc>
          <w:tcPr>
            <w:tcW w:w="2551" w:type="dxa"/>
            <w:vAlign w:val="center"/>
          </w:tcPr>
          <w:p>
            <w:pPr>
              <w:pStyle w:val="13"/>
            </w:pPr>
            <w:r>
              <w:t>持续提升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 xml:space="preserve"> 参训人员满意度</w:t>
            </w:r>
          </w:p>
        </w:tc>
        <w:tc>
          <w:tcPr>
            <w:tcW w:w="3430" w:type="dxa"/>
            <w:vAlign w:val="center"/>
          </w:tcPr>
          <w:p>
            <w:pPr>
              <w:pStyle w:val="13"/>
            </w:pPr>
            <w:r>
              <w:t xml:space="preserve"> 参训人员满意度</w:t>
            </w:r>
          </w:p>
        </w:tc>
        <w:tc>
          <w:tcPr>
            <w:tcW w:w="2551" w:type="dxa"/>
            <w:vAlign w:val="center"/>
          </w:tcPr>
          <w:p>
            <w:pPr>
              <w:pStyle w:val="13"/>
            </w:pPr>
            <w:r>
              <w:t>≥90 %</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5" w:name="_Toc_4_4_0000000006"/>
      <w:r>
        <w:rPr>
          <w:rFonts w:ascii="方正仿宋_GBK" w:hAnsi="方正仿宋_GBK" w:eastAsia="方正仿宋_GBK" w:cs="方正仿宋_GBK"/>
          <w:sz w:val="28"/>
        </w:rPr>
        <w:t>3.2026年滨海新区科技创新券评审、高新技术企业、大额技术合同等评审和技术服务绩效目标表</w:t>
      </w:r>
      <w:bookmarkEnd w:id="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331101天津市滨海新区科学技术局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2026年滨海新区科技创新券评审、高新技术企业、大额技术合同等评审和技术服务</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1300000.00</w:t>
            </w:r>
          </w:p>
        </w:tc>
        <w:tc>
          <w:tcPr>
            <w:tcW w:w="1587" w:type="dxa"/>
            <w:vAlign w:val="center"/>
          </w:tcPr>
          <w:p>
            <w:pPr>
              <w:pStyle w:val="14"/>
            </w:pPr>
            <w:r>
              <w:t>其中：财政    资金</w:t>
            </w:r>
          </w:p>
        </w:tc>
        <w:tc>
          <w:tcPr>
            <w:tcW w:w="1843" w:type="dxa"/>
            <w:vAlign w:val="center"/>
          </w:tcPr>
          <w:p>
            <w:pPr>
              <w:pStyle w:val="13"/>
            </w:pPr>
            <w:r>
              <w:t>1300000.00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完成科技评审以及工作经费的拨付，确保各项科技业务顺利开展，提升科技管理和服务质量。</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1.完成科技评审以及工作经费的拨付，确保各项科技业务顺利开展，提升科技管理和服务质量。</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新增区级及以上孵化机构数量</w:t>
            </w:r>
          </w:p>
        </w:tc>
        <w:tc>
          <w:tcPr>
            <w:tcW w:w="3430" w:type="dxa"/>
            <w:vAlign w:val="center"/>
          </w:tcPr>
          <w:p>
            <w:pPr>
              <w:pStyle w:val="13"/>
            </w:pPr>
            <w:r>
              <w:t>新增区级及以上孵化机构数量</w:t>
            </w:r>
          </w:p>
        </w:tc>
        <w:tc>
          <w:tcPr>
            <w:tcW w:w="2551" w:type="dxa"/>
            <w:vAlign w:val="center"/>
          </w:tcPr>
          <w:p>
            <w:pPr>
              <w:pStyle w:val="13"/>
            </w:pPr>
            <w:r>
              <w:t>≥2家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国家科技型中小企业受理量</w:t>
            </w:r>
          </w:p>
        </w:tc>
        <w:tc>
          <w:tcPr>
            <w:tcW w:w="3430" w:type="dxa"/>
            <w:vAlign w:val="center"/>
          </w:tcPr>
          <w:p>
            <w:pPr>
              <w:pStyle w:val="13"/>
            </w:pPr>
            <w:r>
              <w:t>国家科技型中小企业受理量</w:t>
            </w:r>
          </w:p>
        </w:tc>
        <w:tc>
          <w:tcPr>
            <w:tcW w:w="2551" w:type="dxa"/>
            <w:vAlign w:val="center"/>
          </w:tcPr>
          <w:p>
            <w:pPr>
              <w:pStyle w:val="13"/>
            </w:pPr>
            <w:r>
              <w:t>≥300家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天津市重点实验室评审及服务</w:t>
            </w:r>
          </w:p>
        </w:tc>
        <w:tc>
          <w:tcPr>
            <w:tcW w:w="3430" w:type="dxa"/>
            <w:vAlign w:val="center"/>
          </w:tcPr>
          <w:p>
            <w:pPr>
              <w:pStyle w:val="13"/>
            </w:pPr>
            <w:r>
              <w:t>天津市重点实验室评审及服务</w:t>
            </w:r>
          </w:p>
        </w:tc>
        <w:tc>
          <w:tcPr>
            <w:tcW w:w="2551" w:type="dxa"/>
            <w:vAlign w:val="center"/>
          </w:tcPr>
          <w:p>
            <w:pPr>
              <w:pStyle w:val="13"/>
            </w:pPr>
            <w:r>
              <w:t>≥5家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召开大额技术合同评审会</w:t>
            </w:r>
          </w:p>
        </w:tc>
        <w:tc>
          <w:tcPr>
            <w:tcW w:w="3430" w:type="dxa"/>
            <w:vAlign w:val="center"/>
          </w:tcPr>
          <w:p>
            <w:pPr>
              <w:pStyle w:val="13"/>
            </w:pPr>
            <w:r>
              <w:t>召开大额技术合同评审会</w:t>
            </w:r>
          </w:p>
        </w:tc>
        <w:tc>
          <w:tcPr>
            <w:tcW w:w="2551" w:type="dxa"/>
            <w:vAlign w:val="center"/>
          </w:tcPr>
          <w:p>
            <w:pPr>
              <w:pStyle w:val="13"/>
            </w:pPr>
            <w:r>
              <w:t>≥40场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科技计划项目审查项次</w:t>
            </w:r>
          </w:p>
        </w:tc>
        <w:tc>
          <w:tcPr>
            <w:tcW w:w="3430" w:type="dxa"/>
            <w:vAlign w:val="center"/>
          </w:tcPr>
          <w:p>
            <w:pPr>
              <w:pStyle w:val="13"/>
            </w:pPr>
            <w:r>
              <w:t>科技计划项目审查项次</w:t>
            </w:r>
          </w:p>
        </w:tc>
        <w:tc>
          <w:tcPr>
            <w:tcW w:w="2551" w:type="dxa"/>
            <w:vAlign w:val="center"/>
          </w:tcPr>
          <w:p>
            <w:pPr>
              <w:pStyle w:val="13"/>
            </w:pPr>
            <w:r>
              <w:t>≥90项次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高企火炬和发展年报填报率</w:t>
            </w:r>
          </w:p>
        </w:tc>
        <w:tc>
          <w:tcPr>
            <w:tcW w:w="3430" w:type="dxa"/>
            <w:vAlign w:val="center"/>
          </w:tcPr>
          <w:p>
            <w:pPr>
              <w:pStyle w:val="13"/>
            </w:pPr>
            <w:r>
              <w:t>高企火炬和发展年报填报率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评审数据准确率</w:t>
            </w:r>
          </w:p>
        </w:tc>
        <w:tc>
          <w:tcPr>
            <w:tcW w:w="3430" w:type="dxa"/>
            <w:vAlign w:val="center"/>
          </w:tcPr>
          <w:p>
            <w:pPr>
              <w:pStyle w:val="13"/>
            </w:pPr>
            <w:r>
              <w:t>评审数据准确率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评审工作完成时间</w:t>
            </w:r>
          </w:p>
        </w:tc>
        <w:tc>
          <w:tcPr>
            <w:tcW w:w="3430" w:type="dxa"/>
            <w:vAlign w:val="center"/>
          </w:tcPr>
          <w:p>
            <w:pPr>
              <w:pStyle w:val="13"/>
            </w:pPr>
            <w:r>
              <w:t>评审工作完成时间</w:t>
            </w:r>
          </w:p>
        </w:tc>
        <w:tc>
          <w:tcPr>
            <w:tcW w:w="2551" w:type="dxa"/>
            <w:vAlign w:val="center"/>
          </w:tcPr>
          <w:p>
            <w:pPr>
              <w:pStyle w:val="13"/>
            </w:pPr>
            <w:r>
              <w:t>2026年12月底前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评审和技术服务费用</w:t>
            </w:r>
          </w:p>
        </w:tc>
        <w:tc>
          <w:tcPr>
            <w:tcW w:w="3430" w:type="dxa"/>
            <w:vAlign w:val="center"/>
          </w:tcPr>
          <w:p>
            <w:pPr>
              <w:pStyle w:val="13"/>
            </w:pPr>
            <w:r>
              <w:t>评审和技术服务费用</w:t>
            </w:r>
          </w:p>
        </w:tc>
        <w:tc>
          <w:tcPr>
            <w:tcW w:w="2551" w:type="dxa"/>
            <w:vAlign w:val="center"/>
          </w:tcPr>
          <w:p>
            <w:pPr>
              <w:pStyle w:val="13"/>
            </w:pPr>
            <w:r>
              <w:t>≤130万元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提高科技管理水平</w:t>
            </w:r>
          </w:p>
        </w:tc>
        <w:tc>
          <w:tcPr>
            <w:tcW w:w="3430" w:type="dxa"/>
            <w:vAlign w:val="center"/>
          </w:tcPr>
          <w:p>
            <w:pPr>
              <w:pStyle w:val="13"/>
            </w:pPr>
            <w:r>
              <w:t>提高科技管理水平</w:t>
            </w:r>
          </w:p>
        </w:tc>
        <w:tc>
          <w:tcPr>
            <w:tcW w:w="2551" w:type="dxa"/>
            <w:vAlign w:val="center"/>
          </w:tcPr>
          <w:p>
            <w:pPr>
              <w:pStyle w:val="13"/>
            </w:pPr>
            <w:r>
              <w:t>有效提高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评审单位满意度</w:t>
            </w:r>
          </w:p>
        </w:tc>
        <w:tc>
          <w:tcPr>
            <w:tcW w:w="3430" w:type="dxa"/>
            <w:vAlign w:val="center"/>
          </w:tcPr>
          <w:p>
            <w:pPr>
              <w:pStyle w:val="13"/>
            </w:pPr>
            <w:r>
              <w:t xml:space="preserve"> 评审单位满意度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both"/>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6" w:name="_Toc_4_4_0000000010"/>
      <w:r>
        <w:rPr>
          <w:rFonts w:ascii="方正仿宋_GBK" w:hAnsi="方正仿宋_GBK" w:eastAsia="方正仿宋_GBK" w:cs="方正仿宋_GBK"/>
          <w:sz w:val="28"/>
        </w:rPr>
        <w:t>7.2026年天津先进技术研究院科研项目（自有资金）（其他事业收入资金）绩效目标表</w:t>
      </w:r>
      <w:bookmarkEnd w:id="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331205天津先进技术研究院</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2026年天津先进技术研究院科研项目（自有资金）（其他事业收入资金）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20000000.00</w:t>
            </w:r>
          </w:p>
        </w:tc>
        <w:tc>
          <w:tcPr>
            <w:tcW w:w="1587" w:type="dxa"/>
            <w:vAlign w:val="center"/>
          </w:tcPr>
          <w:p>
            <w:pPr>
              <w:pStyle w:val="14"/>
            </w:pPr>
            <w:r>
              <w:t>其中：财政    资金</w:t>
            </w:r>
          </w:p>
        </w:tc>
        <w:tc>
          <w:tcPr>
            <w:tcW w:w="1843" w:type="dxa"/>
            <w:vAlign w:val="center"/>
          </w:tcPr>
          <w:p>
            <w:pPr>
              <w:pStyle w:val="13"/>
            </w:pPr>
            <w:r>
              <w:t xml:space="preserve"> </w:t>
            </w:r>
          </w:p>
        </w:tc>
        <w:tc>
          <w:tcPr>
            <w:tcW w:w="1276" w:type="dxa"/>
            <w:vAlign w:val="center"/>
          </w:tcPr>
          <w:p>
            <w:pPr>
              <w:pStyle w:val="14"/>
            </w:pPr>
            <w:r>
              <w:t>其他资金</w:t>
            </w:r>
          </w:p>
        </w:tc>
        <w:tc>
          <w:tcPr>
            <w:tcW w:w="1276" w:type="dxa"/>
            <w:vAlign w:val="center"/>
          </w:tcPr>
          <w:p>
            <w:pPr>
              <w:pStyle w:val="13"/>
            </w:pPr>
            <w:r>
              <w:t>20000000.00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为支付研究院日常科研项目，推动创新中心建设，开展关键核心技术研发，推动成果转化项目。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1.开展校地科技合作，推进军民两用高端技术研发和国防科技成果转化，提供技术服务等。</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完成项目数量</w:t>
            </w:r>
          </w:p>
        </w:tc>
        <w:tc>
          <w:tcPr>
            <w:tcW w:w="3430" w:type="dxa"/>
            <w:vAlign w:val="center"/>
          </w:tcPr>
          <w:p>
            <w:pPr>
              <w:pStyle w:val="13"/>
            </w:pPr>
            <w:r>
              <w:t>完成项目数量</w:t>
            </w:r>
          </w:p>
        </w:tc>
        <w:tc>
          <w:tcPr>
            <w:tcW w:w="2551" w:type="dxa"/>
            <w:vAlign w:val="center"/>
          </w:tcPr>
          <w:p>
            <w:pPr>
              <w:pStyle w:val="13"/>
            </w:pPr>
            <w:r>
              <w:t>≥10个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立项目标达成率</w:t>
            </w:r>
          </w:p>
        </w:tc>
        <w:tc>
          <w:tcPr>
            <w:tcW w:w="3430" w:type="dxa"/>
            <w:vAlign w:val="center"/>
          </w:tcPr>
          <w:p>
            <w:pPr>
              <w:pStyle w:val="13"/>
            </w:pPr>
            <w:r>
              <w:t>立项目标达成率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项目完成时间</w:t>
            </w:r>
          </w:p>
        </w:tc>
        <w:tc>
          <w:tcPr>
            <w:tcW w:w="3430" w:type="dxa"/>
            <w:vAlign w:val="center"/>
          </w:tcPr>
          <w:p>
            <w:pPr>
              <w:pStyle w:val="13"/>
            </w:pPr>
            <w:r>
              <w:t>科研项目完成时间</w:t>
            </w:r>
          </w:p>
        </w:tc>
        <w:tc>
          <w:tcPr>
            <w:tcW w:w="2551" w:type="dxa"/>
            <w:vAlign w:val="center"/>
          </w:tcPr>
          <w:p>
            <w:pPr>
              <w:pStyle w:val="13"/>
            </w:pPr>
            <w:r>
              <w:t>2026年12月31日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科研支出经费</w:t>
            </w:r>
          </w:p>
        </w:tc>
        <w:tc>
          <w:tcPr>
            <w:tcW w:w="3430" w:type="dxa"/>
            <w:vAlign w:val="center"/>
          </w:tcPr>
          <w:p>
            <w:pPr>
              <w:pStyle w:val="13"/>
            </w:pPr>
            <w:r>
              <w:t>科研支出经费</w:t>
            </w:r>
          </w:p>
        </w:tc>
        <w:tc>
          <w:tcPr>
            <w:tcW w:w="2551" w:type="dxa"/>
            <w:vAlign w:val="center"/>
          </w:tcPr>
          <w:p>
            <w:pPr>
              <w:pStyle w:val="13"/>
            </w:pPr>
            <w:r>
              <w:t>≤2000万元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推动技术进步和产业发展</w:t>
            </w:r>
          </w:p>
        </w:tc>
        <w:tc>
          <w:tcPr>
            <w:tcW w:w="3430" w:type="dxa"/>
            <w:vAlign w:val="center"/>
          </w:tcPr>
          <w:p>
            <w:pPr>
              <w:pStyle w:val="13"/>
            </w:pPr>
            <w:r>
              <w:t>推进技术进步和产业发展</w:t>
            </w:r>
          </w:p>
        </w:tc>
        <w:tc>
          <w:tcPr>
            <w:tcW w:w="2551" w:type="dxa"/>
            <w:vAlign w:val="center"/>
          </w:tcPr>
          <w:p>
            <w:pPr>
              <w:pStyle w:val="13"/>
            </w:pPr>
            <w:r>
              <w:t>有效推动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上级主管部门满意度</w:t>
            </w:r>
          </w:p>
        </w:tc>
        <w:tc>
          <w:tcPr>
            <w:tcW w:w="3430" w:type="dxa"/>
            <w:vAlign w:val="center"/>
          </w:tcPr>
          <w:p>
            <w:pPr>
              <w:pStyle w:val="13"/>
            </w:pPr>
            <w:r>
              <w:t>上级主管部门满意度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7" w:name="_Toc_4_4_0000000011"/>
      <w:r>
        <w:rPr>
          <w:rFonts w:ascii="方正仿宋_GBK" w:hAnsi="方正仿宋_GBK" w:eastAsia="方正仿宋_GBK" w:cs="方正仿宋_GBK"/>
          <w:sz w:val="28"/>
        </w:rPr>
        <w:t>8.2026年北京大学（天津滨海）新一代信息技术研究院科研项目（自有资金）（其他事业收入资金）绩效目标表</w:t>
      </w:r>
      <w:bookmarkEnd w:id="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331206北京大学（天津滨海）新一代信息技术研究院</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2026年北京大学（天津滨海）新一代信息技术研究院科研项目（自有资金）（其他事业收入资金）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15000000.00</w:t>
            </w:r>
          </w:p>
        </w:tc>
        <w:tc>
          <w:tcPr>
            <w:tcW w:w="1587" w:type="dxa"/>
            <w:vAlign w:val="center"/>
          </w:tcPr>
          <w:p>
            <w:pPr>
              <w:pStyle w:val="14"/>
            </w:pPr>
            <w:r>
              <w:t>其中：财政    资金</w:t>
            </w:r>
          </w:p>
        </w:tc>
        <w:tc>
          <w:tcPr>
            <w:tcW w:w="1843" w:type="dxa"/>
            <w:vAlign w:val="center"/>
          </w:tcPr>
          <w:p>
            <w:pPr>
              <w:pStyle w:val="13"/>
            </w:pPr>
            <w:r>
              <w:t xml:space="preserve"> </w:t>
            </w:r>
          </w:p>
        </w:tc>
        <w:tc>
          <w:tcPr>
            <w:tcW w:w="1276" w:type="dxa"/>
            <w:vAlign w:val="center"/>
          </w:tcPr>
          <w:p>
            <w:pPr>
              <w:pStyle w:val="14"/>
            </w:pPr>
            <w:r>
              <w:t>其他资金</w:t>
            </w:r>
          </w:p>
        </w:tc>
        <w:tc>
          <w:tcPr>
            <w:tcW w:w="1276" w:type="dxa"/>
            <w:vAlign w:val="center"/>
          </w:tcPr>
          <w:p>
            <w:pPr>
              <w:pStyle w:val="13"/>
            </w:pPr>
            <w:r>
              <w:t>15000000.00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 xml:space="preserve"> 做好研究院平台建设，建设1家企业联合实验室，新实现成果转化项目4个，新孵化引育企业3家，研究院及孵化衍生企业引进或培训信息技术、数字化转型、数据治理、人工智能等行业人才20名，引进在天津工作博士后3人，研究院及孵化衍生企业二期建设以来累计营收1亿元以上。</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建设1家企业联合实验室，新实现成果转化项目4个，新孵化引育企业3家，研究院及孵化衍生企业引进或培训信息技术、数字化转型、数据治理、人工智能等行业人才20名，引进在天津工作博士后3人，研究院及孵化衍生企业二期建设以来累计营收1亿元以上。</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新孵化引育企业数量</w:t>
            </w:r>
          </w:p>
        </w:tc>
        <w:tc>
          <w:tcPr>
            <w:tcW w:w="3430" w:type="dxa"/>
            <w:vAlign w:val="center"/>
          </w:tcPr>
          <w:p>
            <w:pPr>
              <w:pStyle w:val="13"/>
            </w:pPr>
            <w:r>
              <w:t>新孵化引育企业数量</w:t>
            </w:r>
          </w:p>
        </w:tc>
        <w:tc>
          <w:tcPr>
            <w:tcW w:w="2551" w:type="dxa"/>
            <w:vAlign w:val="center"/>
          </w:tcPr>
          <w:p>
            <w:pPr>
              <w:pStyle w:val="13"/>
            </w:pPr>
            <w:r>
              <w:t>≥3个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研究院及孵化企业新引进或培训行业人才数量</w:t>
            </w:r>
          </w:p>
        </w:tc>
        <w:tc>
          <w:tcPr>
            <w:tcW w:w="3430" w:type="dxa"/>
            <w:vAlign w:val="center"/>
          </w:tcPr>
          <w:p>
            <w:pPr>
              <w:pStyle w:val="13"/>
            </w:pPr>
            <w:r>
              <w:t>研究院及孵化企业新引进或培训行业人才数量</w:t>
            </w:r>
          </w:p>
        </w:tc>
        <w:tc>
          <w:tcPr>
            <w:tcW w:w="2551" w:type="dxa"/>
            <w:vAlign w:val="center"/>
          </w:tcPr>
          <w:p>
            <w:pPr>
              <w:pStyle w:val="13"/>
            </w:pPr>
            <w:r>
              <w:t>≥20人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新申请发明专利数</w:t>
            </w:r>
          </w:p>
        </w:tc>
        <w:tc>
          <w:tcPr>
            <w:tcW w:w="3430" w:type="dxa"/>
            <w:vAlign w:val="center"/>
          </w:tcPr>
          <w:p>
            <w:pPr>
              <w:pStyle w:val="13"/>
            </w:pPr>
            <w:r>
              <w:t>新申请发明专利数</w:t>
            </w:r>
          </w:p>
        </w:tc>
        <w:tc>
          <w:tcPr>
            <w:tcW w:w="2551" w:type="dxa"/>
            <w:vAlign w:val="center"/>
          </w:tcPr>
          <w:p>
            <w:pPr>
              <w:pStyle w:val="13"/>
            </w:pPr>
            <w:r>
              <w:t>≥10项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新设立企业联合实验室</w:t>
            </w:r>
          </w:p>
        </w:tc>
        <w:tc>
          <w:tcPr>
            <w:tcW w:w="3430" w:type="dxa"/>
            <w:vAlign w:val="center"/>
          </w:tcPr>
          <w:p>
            <w:pPr>
              <w:pStyle w:val="13"/>
            </w:pPr>
            <w:r>
              <w:t>新设立企业联合实验室</w:t>
            </w:r>
          </w:p>
        </w:tc>
        <w:tc>
          <w:tcPr>
            <w:tcW w:w="2551" w:type="dxa"/>
            <w:vAlign w:val="center"/>
          </w:tcPr>
          <w:p>
            <w:pPr>
              <w:pStyle w:val="13"/>
            </w:pPr>
            <w:r>
              <w:t>≥1个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引进在天津工作博士后</w:t>
            </w:r>
          </w:p>
        </w:tc>
        <w:tc>
          <w:tcPr>
            <w:tcW w:w="3430" w:type="dxa"/>
            <w:vAlign w:val="center"/>
          </w:tcPr>
          <w:p>
            <w:pPr>
              <w:pStyle w:val="13"/>
            </w:pPr>
            <w:r>
              <w:t>引进在天津工作博士后</w:t>
            </w:r>
          </w:p>
        </w:tc>
        <w:tc>
          <w:tcPr>
            <w:tcW w:w="2551" w:type="dxa"/>
            <w:vAlign w:val="center"/>
          </w:tcPr>
          <w:p>
            <w:pPr>
              <w:pStyle w:val="13"/>
            </w:pPr>
            <w:r>
              <w:t>≥3人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实现成果转化项目</w:t>
            </w:r>
          </w:p>
        </w:tc>
        <w:tc>
          <w:tcPr>
            <w:tcW w:w="3430" w:type="dxa"/>
            <w:vAlign w:val="center"/>
          </w:tcPr>
          <w:p>
            <w:pPr>
              <w:pStyle w:val="13"/>
            </w:pPr>
            <w:r>
              <w:t>实现成果转化项目</w:t>
            </w:r>
          </w:p>
        </w:tc>
        <w:tc>
          <w:tcPr>
            <w:tcW w:w="2551" w:type="dxa"/>
            <w:vAlign w:val="center"/>
          </w:tcPr>
          <w:p>
            <w:pPr>
              <w:pStyle w:val="13"/>
            </w:pPr>
            <w:r>
              <w:t>≥4项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项目完成进度</w:t>
            </w:r>
          </w:p>
        </w:tc>
        <w:tc>
          <w:tcPr>
            <w:tcW w:w="3430" w:type="dxa"/>
            <w:vAlign w:val="center"/>
          </w:tcPr>
          <w:p>
            <w:pPr>
              <w:pStyle w:val="13"/>
            </w:pPr>
            <w:r>
              <w:t>项目完成时间</w:t>
            </w:r>
          </w:p>
        </w:tc>
        <w:tc>
          <w:tcPr>
            <w:tcW w:w="2551" w:type="dxa"/>
            <w:vAlign w:val="center"/>
          </w:tcPr>
          <w:p>
            <w:pPr>
              <w:pStyle w:val="13"/>
            </w:pPr>
            <w:r>
              <w:t>2016年12月31日前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项目经费</w:t>
            </w:r>
          </w:p>
        </w:tc>
        <w:tc>
          <w:tcPr>
            <w:tcW w:w="3430" w:type="dxa"/>
            <w:vAlign w:val="center"/>
          </w:tcPr>
          <w:p>
            <w:pPr>
              <w:pStyle w:val="13"/>
            </w:pPr>
            <w:r>
              <w:t>项目经费</w:t>
            </w:r>
          </w:p>
        </w:tc>
        <w:tc>
          <w:tcPr>
            <w:tcW w:w="2551" w:type="dxa"/>
            <w:vAlign w:val="center"/>
          </w:tcPr>
          <w:p>
            <w:pPr>
              <w:pStyle w:val="13"/>
            </w:pPr>
            <w:r>
              <w:t>≤1500万元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经济效益指标</w:t>
            </w:r>
          </w:p>
        </w:tc>
        <w:tc>
          <w:tcPr>
            <w:tcW w:w="1332" w:type="dxa"/>
            <w:vAlign w:val="center"/>
          </w:tcPr>
          <w:p>
            <w:pPr>
              <w:pStyle w:val="13"/>
            </w:pPr>
            <w:r>
              <w:t>研究院及孵化衍生企业营收</w:t>
            </w:r>
          </w:p>
        </w:tc>
        <w:tc>
          <w:tcPr>
            <w:tcW w:w="3430" w:type="dxa"/>
            <w:vAlign w:val="center"/>
          </w:tcPr>
          <w:p>
            <w:pPr>
              <w:pStyle w:val="13"/>
            </w:pPr>
            <w:r>
              <w:t>研究院及孵化衍生企业营收</w:t>
            </w:r>
          </w:p>
        </w:tc>
        <w:tc>
          <w:tcPr>
            <w:tcW w:w="2551" w:type="dxa"/>
            <w:vAlign w:val="center"/>
          </w:tcPr>
          <w:p>
            <w:pPr>
              <w:pStyle w:val="13"/>
            </w:pPr>
            <w:r>
              <w:t>二期以来累计达到1亿元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服务企业满意度</w:t>
            </w:r>
          </w:p>
        </w:tc>
        <w:tc>
          <w:tcPr>
            <w:tcW w:w="3430" w:type="dxa"/>
            <w:vAlign w:val="center"/>
          </w:tcPr>
          <w:p>
            <w:pPr>
              <w:pStyle w:val="13"/>
            </w:pPr>
            <w:r>
              <w:t>服务企业满意度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8" w:name="_Toc_4_4_0000000012"/>
      <w:r>
        <w:rPr>
          <w:rFonts w:ascii="方正仿宋_GBK" w:hAnsi="方正仿宋_GBK" w:eastAsia="方正仿宋_GBK" w:cs="方正仿宋_GBK"/>
          <w:sz w:val="28"/>
        </w:rPr>
        <w:t>9.2026年浙江大学滨海产业技术研究院科研项目（自有资金）（其他事业收入资金）绩效目标表</w:t>
      </w:r>
      <w:bookmarkEnd w:id="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331207浙江大学滨海产业技术研究院</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2026年浙江大学滨海产业技术研究院科研项目（自有资金）（其他事业收入资金）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16520000.00</w:t>
            </w:r>
          </w:p>
        </w:tc>
        <w:tc>
          <w:tcPr>
            <w:tcW w:w="1587" w:type="dxa"/>
            <w:vAlign w:val="center"/>
          </w:tcPr>
          <w:p>
            <w:pPr>
              <w:pStyle w:val="14"/>
            </w:pPr>
            <w:r>
              <w:t>其中：财政    资金</w:t>
            </w:r>
          </w:p>
        </w:tc>
        <w:tc>
          <w:tcPr>
            <w:tcW w:w="1843" w:type="dxa"/>
            <w:vAlign w:val="center"/>
          </w:tcPr>
          <w:p>
            <w:pPr>
              <w:pStyle w:val="13"/>
            </w:pPr>
            <w:r>
              <w:t xml:space="preserve"> </w:t>
            </w:r>
          </w:p>
        </w:tc>
        <w:tc>
          <w:tcPr>
            <w:tcW w:w="1276" w:type="dxa"/>
            <w:vAlign w:val="center"/>
          </w:tcPr>
          <w:p>
            <w:pPr>
              <w:pStyle w:val="14"/>
            </w:pPr>
            <w:r>
              <w:t>其他资金</w:t>
            </w:r>
          </w:p>
        </w:tc>
        <w:tc>
          <w:tcPr>
            <w:tcW w:w="1276" w:type="dxa"/>
            <w:vAlign w:val="center"/>
          </w:tcPr>
          <w:p>
            <w:pPr>
              <w:pStyle w:val="13"/>
            </w:pPr>
            <w:r>
              <w:t>16520000.00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PrEx>
        <w:trPr>
          <w:trHeight w:val="369" w:hRule="atLeast"/>
          <w:jc w:val="center"/>
        </w:trPr>
        <w:tc>
          <w:tcPr>
            <w:tcW w:w="1276" w:type="dxa"/>
            <w:vMerge w:val="continue"/>
          </w:tcPr>
          <w:p/>
        </w:tc>
        <w:tc>
          <w:tcPr>
            <w:tcW w:w="8589" w:type="dxa"/>
            <w:gridSpan w:val="6"/>
            <w:vAlign w:val="center"/>
          </w:tcPr>
          <w:p>
            <w:pPr>
              <w:pStyle w:val="13"/>
            </w:pPr>
            <w:r>
              <w:t>支付研究院日常科研项目费用，有效使科研项目顺利进行。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1.通过开展科研项目的理论创新、技术研究、系统研制等，实现技术转型升级、技术应用推广与转化。</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项目对接</w:t>
            </w:r>
          </w:p>
        </w:tc>
        <w:tc>
          <w:tcPr>
            <w:tcW w:w="3430" w:type="dxa"/>
            <w:vAlign w:val="center"/>
          </w:tcPr>
          <w:p>
            <w:pPr>
              <w:pStyle w:val="13"/>
            </w:pPr>
            <w:r>
              <w:t>项目对接会</w:t>
            </w:r>
          </w:p>
        </w:tc>
        <w:tc>
          <w:tcPr>
            <w:tcW w:w="2551" w:type="dxa"/>
            <w:vAlign w:val="center"/>
          </w:tcPr>
          <w:p>
            <w:pPr>
              <w:pStyle w:val="13"/>
            </w:pPr>
            <w:r>
              <w:t>≥4次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项目评审报告专家评审通过率</w:t>
            </w:r>
          </w:p>
        </w:tc>
        <w:tc>
          <w:tcPr>
            <w:tcW w:w="3430" w:type="dxa"/>
            <w:vAlign w:val="center"/>
          </w:tcPr>
          <w:p>
            <w:pPr>
              <w:pStyle w:val="13"/>
            </w:pPr>
            <w:r>
              <w:t>研究报告专家评审通过率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科研项目节点完成时间</w:t>
            </w:r>
          </w:p>
        </w:tc>
        <w:tc>
          <w:tcPr>
            <w:tcW w:w="3430" w:type="dxa"/>
            <w:vAlign w:val="center"/>
          </w:tcPr>
          <w:p>
            <w:pPr>
              <w:pStyle w:val="13"/>
            </w:pPr>
            <w:r>
              <w:t>科研项目节点完成时间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日常科研项目费用</w:t>
            </w:r>
          </w:p>
        </w:tc>
        <w:tc>
          <w:tcPr>
            <w:tcW w:w="3430" w:type="dxa"/>
            <w:vAlign w:val="center"/>
          </w:tcPr>
          <w:p>
            <w:pPr>
              <w:pStyle w:val="13"/>
            </w:pPr>
            <w:r>
              <w:t>日常科研项目费用</w:t>
            </w:r>
          </w:p>
        </w:tc>
        <w:tc>
          <w:tcPr>
            <w:tcW w:w="2551" w:type="dxa"/>
            <w:vAlign w:val="center"/>
          </w:tcPr>
          <w:p>
            <w:pPr>
              <w:pStyle w:val="13"/>
            </w:pPr>
            <w:r>
              <w:t>≤1652万元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优化高、中、初级专业技术人才比例</w:t>
            </w:r>
          </w:p>
        </w:tc>
        <w:tc>
          <w:tcPr>
            <w:tcW w:w="3430" w:type="dxa"/>
            <w:vAlign w:val="center"/>
          </w:tcPr>
          <w:p>
            <w:pPr>
              <w:pStyle w:val="13"/>
            </w:pPr>
            <w:r>
              <w:t>优化高、中、初级专业技术人才比例</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上级主管部门满意度</w:t>
            </w:r>
          </w:p>
        </w:tc>
        <w:tc>
          <w:tcPr>
            <w:tcW w:w="3430" w:type="dxa"/>
            <w:vAlign w:val="center"/>
          </w:tcPr>
          <w:p>
            <w:pPr>
              <w:pStyle w:val="13"/>
            </w:pPr>
            <w:r>
              <w:t>上级主管部门满意度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9" w:name="_Toc_4_4_0000000013"/>
      <w:r>
        <w:rPr>
          <w:rFonts w:ascii="方正仿宋_GBK" w:hAnsi="方正仿宋_GBK" w:eastAsia="方正仿宋_GBK" w:cs="方正仿宋_GBK"/>
          <w:sz w:val="28"/>
        </w:rPr>
        <w:t>10.2026年天津（滨海）人工智能创新中心科研项目（自有资金）（其他事业收入资金）绩效目标表</w:t>
      </w:r>
      <w:bookmarkEnd w:id="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331208天津（滨海）人工智能创新中心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2026年天津（滨海）人工智能创新中心科研项目（自有资金）（其他事业收入资金）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32350000.00</w:t>
            </w:r>
          </w:p>
        </w:tc>
        <w:tc>
          <w:tcPr>
            <w:tcW w:w="1587" w:type="dxa"/>
            <w:vAlign w:val="center"/>
          </w:tcPr>
          <w:p>
            <w:pPr>
              <w:pStyle w:val="14"/>
            </w:pPr>
            <w:r>
              <w:t>其中：财政    资金</w:t>
            </w:r>
          </w:p>
        </w:tc>
        <w:tc>
          <w:tcPr>
            <w:tcW w:w="1843" w:type="dxa"/>
            <w:vAlign w:val="center"/>
          </w:tcPr>
          <w:p>
            <w:pPr>
              <w:pStyle w:val="13"/>
            </w:pPr>
            <w:r>
              <w:t xml:space="preserve"> </w:t>
            </w:r>
          </w:p>
        </w:tc>
        <w:tc>
          <w:tcPr>
            <w:tcW w:w="1276" w:type="dxa"/>
            <w:vAlign w:val="center"/>
          </w:tcPr>
          <w:p>
            <w:pPr>
              <w:pStyle w:val="14"/>
            </w:pPr>
            <w:r>
              <w:t>其他资金</w:t>
            </w:r>
          </w:p>
        </w:tc>
        <w:tc>
          <w:tcPr>
            <w:tcW w:w="1276" w:type="dxa"/>
            <w:vAlign w:val="center"/>
          </w:tcPr>
          <w:p>
            <w:pPr>
              <w:pStyle w:val="13"/>
            </w:pPr>
            <w:r>
              <w:t>32350000.00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开展操作系统和智能人机交互领域科研项目的技术研究、系统研制、系统测试、试验验证和应用推广。</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1.通过开展科研项目的理论创新、技术研究、算法开发、系统研制等，实现操作系统和智能人机交互两个方向的应用推广和成果转化。</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科研项目立项数</w:t>
            </w:r>
          </w:p>
        </w:tc>
        <w:tc>
          <w:tcPr>
            <w:tcW w:w="3430" w:type="dxa"/>
            <w:vAlign w:val="center"/>
          </w:tcPr>
          <w:p>
            <w:pPr>
              <w:pStyle w:val="13"/>
            </w:pPr>
            <w:r>
              <w:t>科研项目立项数</w:t>
            </w:r>
          </w:p>
        </w:tc>
        <w:tc>
          <w:tcPr>
            <w:tcW w:w="2551" w:type="dxa"/>
            <w:vAlign w:val="center"/>
          </w:tcPr>
          <w:p>
            <w:pPr>
              <w:pStyle w:val="13"/>
            </w:pPr>
            <w:r>
              <w:t>≥14项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完成项目数量</w:t>
            </w:r>
          </w:p>
        </w:tc>
        <w:tc>
          <w:tcPr>
            <w:tcW w:w="3430" w:type="dxa"/>
            <w:vAlign w:val="center"/>
          </w:tcPr>
          <w:p>
            <w:pPr>
              <w:pStyle w:val="13"/>
            </w:pPr>
            <w:r>
              <w:t xml:space="preserve"> 按时完成在研科研项目阶段任务数量</w:t>
            </w:r>
          </w:p>
        </w:tc>
        <w:tc>
          <w:tcPr>
            <w:tcW w:w="2551" w:type="dxa"/>
            <w:vAlign w:val="center"/>
          </w:tcPr>
          <w:p>
            <w:pPr>
              <w:pStyle w:val="13"/>
            </w:pPr>
            <w:r>
              <w:t>≥8项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申报专利</w:t>
            </w:r>
          </w:p>
        </w:tc>
        <w:tc>
          <w:tcPr>
            <w:tcW w:w="3430" w:type="dxa"/>
            <w:vAlign w:val="center"/>
          </w:tcPr>
          <w:p>
            <w:pPr>
              <w:pStyle w:val="13"/>
            </w:pPr>
            <w:r>
              <w:t xml:space="preserve"> 新申请有价值专利</w:t>
            </w:r>
          </w:p>
        </w:tc>
        <w:tc>
          <w:tcPr>
            <w:tcW w:w="2551" w:type="dxa"/>
            <w:vAlign w:val="center"/>
          </w:tcPr>
          <w:p>
            <w:pPr>
              <w:pStyle w:val="13"/>
            </w:pPr>
            <w:r>
              <w:t>≥2项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科研项目节点和首次验收通过率</w:t>
            </w:r>
          </w:p>
        </w:tc>
        <w:tc>
          <w:tcPr>
            <w:tcW w:w="3430" w:type="dxa"/>
            <w:vAlign w:val="center"/>
          </w:tcPr>
          <w:p>
            <w:pPr>
              <w:pStyle w:val="13"/>
            </w:pPr>
            <w:r>
              <w:t xml:space="preserve"> 科研项目节点检查和首次验收通过率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科研项目节点完成时间</w:t>
            </w:r>
          </w:p>
        </w:tc>
        <w:tc>
          <w:tcPr>
            <w:tcW w:w="3430" w:type="dxa"/>
            <w:vAlign w:val="center"/>
          </w:tcPr>
          <w:p>
            <w:pPr>
              <w:pStyle w:val="13"/>
            </w:pPr>
            <w:r>
              <w:t xml:space="preserve"> 科研项目节点完成时间</w:t>
            </w:r>
          </w:p>
          <w:p>
            <w:pPr>
              <w:pStyle w:val="13"/>
            </w:pPr>
          </w:p>
        </w:tc>
        <w:tc>
          <w:tcPr>
            <w:tcW w:w="2551" w:type="dxa"/>
            <w:vAlign w:val="center"/>
          </w:tcPr>
          <w:p>
            <w:pPr>
              <w:pStyle w:val="13"/>
            </w:pPr>
            <w:r>
              <w:t>2026年12月31日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项目实际成本</w:t>
            </w:r>
          </w:p>
        </w:tc>
        <w:tc>
          <w:tcPr>
            <w:tcW w:w="3430" w:type="dxa"/>
            <w:vAlign w:val="center"/>
          </w:tcPr>
          <w:p>
            <w:pPr>
              <w:pStyle w:val="13"/>
            </w:pPr>
            <w:r>
              <w:t xml:space="preserve"> 完成科研项目任务成本</w:t>
            </w:r>
          </w:p>
        </w:tc>
        <w:tc>
          <w:tcPr>
            <w:tcW w:w="2551" w:type="dxa"/>
            <w:vAlign w:val="center"/>
          </w:tcPr>
          <w:p>
            <w:pPr>
              <w:pStyle w:val="13"/>
            </w:pPr>
            <w:r>
              <w:t>≤3235万元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提供就业机会</w:t>
            </w:r>
          </w:p>
        </w:tc>
        <w:tc>
          <w:tcPr>
            <w:tcW w:w="3430" w:type="dxa"/>
            <w:vAlign w:val="center"/>
          </w:tcPr>
          <w:p>
            <w:pPr>
              <w:pStyle w:val="13"/>
            </w:pPr>
            <w:r>
              <w:t xml:space="preserve"> 提供天津就业岗位</w:t>
            </w:r>
          </w:p>
        </w:tc>
        <w:tc>
          <w:tcPr>
            <w:tcW w:w="2551" w:type="dxa"/>
            <w:vAlign w:val="center"/>
          </w:tcPr>
          <w:p>
            <w:pPr>
              <w:pStyle w:val="13"/>
            </w:pPr>
            <w:r>
              <w:t>≥50个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科研项目委托方满意度</w:t>
            </w:r>
          </w:p>
        </w:tc>
        <w:tc>
          <w:tcPr>
            <w:tcW w:w="3430" w:type="dxa"/>
            <w:vAlign w:val="center"/>
          </w:tcPr>
          <w:p>
            <w:pPr>
              <w:pStyle w:val="13"/>
            </w:pPr>
            <w:r>
              <w:t xml:space="preserve"> 科研项目委托方/甲方满意度</w:t>
            </w:r>
          </w:p>
        </w:tc>
        <w:tc>
          <w:tcPr>
            <w:tcW w:w="2551" w:type="dxa"/>
            <w:vAlign w:val="center"/>
          </w:tcPr>
          <w:p>
            <w:pPr>
              <w:pStyle w:val="13"/>
            </w:pPr>
            <w:r>
              <w:t>≥96%</w:t>
            </w:r>
          </w:p>
        </w:tc>
      </w:tr>
    </w:tbl>
    <w:p/>
    <w:sectPr>
      <w:pgSz w:w="11900" w:h="16840"/>
      <w:pgMar w:top="1984" w:right="1304" w:bottom="1134" w:left="130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r>
      <w:fldChar w:fldCharType="begin"/>
    </w:r>
    <w:r>
      <w:instrText xml:space="preserve">PAGE "page number"</w:instrText>
    </w:r>
    <w:r>
      <w:fldChar w:fldCharType="separate"/>
    </w:r>
    <w:r>
      <w:t>page number</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pPr>
    <w:r>
      <w:fldChar w:fldCharType="begin"/>
    </w:r>
    <w:r>
      <w:instrText xml:space="preserve">PAGE "page number"</w:instrText>
    </w:r>
    <w:r>
      <w:fldChar w:fldCharType="separate"/>
    </w:r>
    <w:r>
      <w:t>page number</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false"/>
  <w:bordersDoNotSurroundFooter w:val="false"/>
  <w:doNotTrackMoves/>
  <w:documentProtection w:enforcement="0"/>
  <w:defaultTabStop w:val="720"/>
  <w:evenAndOddHeaders w:val="true"/>
  <w:displayHorizontalDrawingGridEvery w:val="1"/>
  <w:displayVerticalDrawingGridEvery w:val="1"/>
  <w:noPunctuationKerning w:val="true"/>
  <w:characterSpacingControl w:val="doNotCompress"/>
  <w:compat>
    <w:doNotLeaveBackslashAlone/>
    <w:doNotExpandShiftReturn/>
    <w:adjustLineHeightInTable/>
    <w:doNotWrapTextWithPunct/>
    <w:doNotUseEastAsianBreakRules/>
    <w:useFELayout/>
    <w:doNotUseIndentAsNumberingTabStop/>
    <w:compatSetting w:name="compatibilityMode" w:uri="http://schemas.microsoft.com/office/word" w:val="15"/>
  </w:compat>
  <w:rsids>
    <w:rsidRoot w:val="00000000"/>
    <w:rsid w:val="5D7DD333"/>
    <w:rsid w:val="7BAE5084"/>
    <w:rsid w:val="7FF7FC90"/>
    <w:rsid w:val="7FFA5EA0"/>
    <w:rsid w:val="9797D97F"/>
    <w:rsid w:val="DF733DB7"/>
    <w:rsid w:val="DFFF7FCB"/>
    <w:rsid w:val="E74F6BD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0"/>
    <w:pPr>
      <w:spacing w:before="120" w:line="240" w:lineRule="auto"/>
      <w:ind w:firstLine="0"/>
    </w:pPr>
    <w:rPr>
      <w:rFonts w:ascii="Times New Roman" w:hAnsi="Times New Roman" w:eastAsia="方正仿宋_GBK" w:cs="Times New Roman"/>
      <w:color w:val="000000"/>
      <w:sz w:val="28"/>
      <w:lang w:val="en-US"/>
    </w:rPr>
  </w:style>
  <w:style w:type="paragraph" w:styleId="3">
    <w:name w:val="toc 4"/>
    <w:basedOn w:val="1"/>
    <w:next w:val="1"/>
    <w:qFormat/>
    <w:uiPriority w:val="0"/>
    <w:pPr>
      <w:ind w:left="720"/>
    </w:pPr>
  </w:style>
  <w:style w:type="paragraph" w:styleId="4">
    <w:name w:val="toc 2"/>
    <w:basedOn w:val="1"/>
    <w:next w:val="1"/>
    <w:qFormat/>
    <w:uiPriority w:val="0"/>
    <w:pPr>
      <w:ind w:left="240"/>
    </w:p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插入文本样式-插入总体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9">
    <w:name w:val="插入文本样式-插入职责分类绩效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0">
    <w:name w:val="插入文本样式-插入实现年度发展规划目标的保障措施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1">
    <w:name w:val="单元格样式4"/>
    <w:basedOn w:val="1"/>
    <w:qFormat/>
    <w:uiPriority w:val="0"/>
    <w:pPr>
      <w:spacing w:before="0" w:after="0"/>
      <w:ind w:firstLine="0"/>
      <w:jc w:val="right"/>
      <w:outlineLvl w:val="9"/>
    </w:pPr>
    <w:rPr>
      <w:rFonts w:ascii="方正书宋_GBK" w:hAnsi="方正书宋_GBK" w:eastAsia="方正书宋_GBK" w:cs="方正书宋_GBK"/>
      <w:sz w:val="21"/>
    </w:rPr>
  </w:style>
  <w:style w:type="paragraph" w:customStyle="1" w:styleId="12">
    <w:name w:val="单元格样式5"/>
    <w:basedOn w:val="1"/>
    <w:qFormat/>
    <w:uiPriority w:val="0"/>
    <w:pPr>
      <w:spacing w:before="0" w:after="0"/>
      <w:ind w:firstLine="0"/>
      <w:jc w:val="left"/>
      <w:outlineLvl w:val="9"/>
    </w:pPr>
    <w:rPr>
      <w:rFonts w:ascii="方正书宋_GBK" w:hAnsi="方正书宋_GBK" w:eastAsia="方正书宋_GBK" w:cs="方正书宋_GBK"/>
      <w:b/>
      <w:sz w:val="21"/>
    </w:rPr>
  </w:style>
  <w:style w:type="paragraph" w:customStyle="1" w:styleId="13">
    <w:name w:val="单元格样式2"/>
    <w:basedOn w:val="1"/>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14">
    <w:name w:val="单元格样式1"/>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15">
    <w:name w:val="单元格样式3"/>
    <w:basedOn w:val="1"/>
    <w:qFormat/>
    <w:uiPriority w:val="0"/>
    <w:pPr>
      <w:spacing w:before="0" w:after="0"/>
      <w:ind w:firstLine="0"/>
      <w:jc w:val="center"/>
      <w:outlineLvl w:val="9"/>
    </w:pPr>
    <w:rPr>
      <w:rFonts w:ascii="方正书宋_GBK" w:hAnsi="方正书宋_GBK" w:eastAsia="方正书宋_GBK" w:cs="方正书宋_GBK"/>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Office_11.8.2.10229_F1E327BC-269C-435d-A152-05C5408002CA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2026-01-22T16:05:00Z</dcterms:created>
  <dc:creator>kylin</dc:creator>
  <cp:lastModifiedBy>赵星民</cp:lastModifiedBy>
  <dcterms:modified xsi:type="dcterms:W3CDTF">2026-02-13T09:44:34Z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5B6E4CA40CA243999059DB9EFCEB2238</vt:lpwstr>
  </property>
</Properties>
</file>