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绵羊新品种新品系培育及良繁”项目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2023年资金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  <w:t>认定补贴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情况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688" w:tblpY="4623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2505"/>
        <w:gridCol w:w="280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01" w:type="dxa"/>
            <w:noWrap w:val="0"/>
            <w:vAlign w:val="top"/>
          </w:tcPr>
          <w:p>
            <w:pPr>
              <w:spacing w:line="6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pacing w:line="640" w:lineRule="exact"/>
              <w:ind w:firstLine="714" w:firstLineChars="254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项目名称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spacing w:line="640" w:lineRule="exact"/>
              <w:ind w:firstLine="843" w:firstLineChars="30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承担单位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64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拟补贴资金（万元）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绵羊新品种新品系培育及良繁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天津奥群牧业有限公司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64.8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E624"/>
    <w:rsid w:val="19DBE624"/>
    <w:rsid w:val="3FDE6D65"/>
    <w:rsid w:val="5DEBA047"/>
    <w:rsid w:val="77BC0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80</Characters>
  <Lines>0</Lines>
  <Paragraphs>0</Paragraphs>
  <TotalTime>2.33333333333333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2022-08-17T02:11:00Z</dcterms:created>
  <dc:creator>单琪</dc:creator>
  <cp:lastModifiedBy>小蜗</cp:lastModifiedBy>
  <dcterms:modified xsi:type="dcterms:W3CDTF">2023-07-26T03:10:34Z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73E7BDDFCCAF45C6BCA667CBF8D3FCB2_13</vt:lpwstr>
  </property>
</Properties>
</file>