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Nimbus Roman No9 L" w:hAnsi="Nimbus Roman No9 L" w:eastAsia="黑体" w:cs="黑体"/>
          <w:color w:val="auto"/>
          <w:kern w:val="0"/>
          <w:sz w:val="32"/>
          <w:szCs w:val="32"/>
          <w:lang w:val="en-US" w:eastAsia="zh-CN"/>
        </w:rPr>
      </w:pPr>
      <w:r>
        <w:rPr>
          <w:rFonts w:hint="eastAsia" w:ascii="Nimbus Roman No9 L" w:hAnsi="Nimbus Roman No9 L" w:eastAsia="黑体" w:cs="黑体"/>
          <w:color w:val="auto"/>
          <w:kern w:val="0"/>
          <w:sz w:val="32"/>
          <w:szCs w:val="32"/>
          <w:lang w:val="en-US" w:eastAsia="zh-CN"/>
        </w:rPr>
        <w:t>附件1</w:t>
      </w:r>
    </w:p>
    <w:tbl>
      <w:tblPr>
        <w:tblStyle w:val="3"/>
        <w:tblW w:w="14385" w:type="dxa"/>
        <w:tblInd w:w="-10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9"/>
        <w:gridCol w:w="1567"/>
        <w:gridCol w:w="3688"/>
        <w:gridCol w:w="4100"/>
        <w:gridCol w:w="2705"/>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14385" w:type="dxa"/>
            <w:gridSpan w:val="6"/>
            <w:tcBorders>
              <w:top w:val="nil"/>
              <w:left w:val="nil"/>
              <w:bottom w:val="nil"/>
              <w:right w:val="nil"/>
            </w:tcBorders>
            <w:noWrap/>
            <w:vAlign w:val="center"/>
          </w:tcPr>
          <w:p>
            <w:pPr>
              <w:keepNext w:val="0"/>
              <w:keepLines w:val="0"/>
              <w:widowControl/>
              <w:suppressLineNumbers w:val="0"/>
              <w:jc w:val="center"/>
              <w:textAlignment w:val="center"/>
              <w:rPr>
                <w:rFonts w:ascii="Nimbus Roman No9 L" w:hAnsi="Nimbus Roman No9 L" w:eastAsia="方正小标宋简体" w:cs="方正小标宋简体"/>
                <w:i w:val="0"/>
                <w:color w:val="000000"/>
                <w:sz w:val="44"/>
                <w:szCs w:val="44"/>
                <w:u w:val="none"/>
              </w:rPr>
            </w:pPr>
            <w:bookmarkStart w:id="0" w:name="_GoBack"/>
            <w:r>
              <w:rPr>
                <w:rFonts w:hint="eastAsia" w:ascii="Nimbus Roman No9 L" w:hAnsi="Nimbus Roman No9 L" w:eastAsia="方正小标宋简体" w:cs="方正小标宋简体"/>
                <w:i w:val="0"/>
                <w:color w:val="000000"/>
                <w:kern w:val="0"/>
                <w:sz w:val="44"/>
                <w:szCs w:val="44"/>
                <w:u w:val="none"/>
                <w:lang w:val="en-US" w:eastAsia="zh-CN" w:bidi="ar"/>
              </w:rPr>
              <w:t>科技创新券服务机构入库条件及联系人</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919"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Nimbus Roman No9 L" w:hAnsi="Nimbus Roman No9 L" w:eastAsia="仿宋" w:cs="仿宋"/>
                <w:b/>
                <w:i w:val="0"/>
                <w:color w:val="000000"/>
                <w:sz w:val="28"/>
                <w:szCs w:val="28"/>
                <w:u w:val="none"/>
              </w:rPr>
            </w:pPr>
            <w:r>
              <w:rPr>
                <w:rFonts w:hint="eastAsia" w:ascii="Nimbus Roman No9 L" w:hAnsi="Nimbus Roman No9 L" w:eastAsia="仿宋" w:cs="仿宋"/>
                <w:b/>
                <w:i w:val="0"/>
                <w:color w:val="000000"/>
                <w:kern w:val="0"/>
                <w:sz w:val="28"/>
                <w:szCs w:val="28"/>
                <w:u w:val="none"/>
                <w:lang w:val="en-US" w:eastAsia="zh-CN" w:bidi="ar"/>
              </w:rPr>
              <w:t>序号</w:t>
            </w:r>
          </w:p>
        </w:tc>
        <w:tc>
          <w:tcPr>
            <w:tcW w:w="1567"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Nimbus Roman No9 L" w:hAnsi="Nimbus Roman No9 L" w:eastAsia="仿宋" w:cs="仿宋"/>
                <w:b/>
                <w:i w:val="0"/>
                <w:color w:val="000000"/>
                <w:sz w:val="28"/>
                <w:szCs w:val="28"/>
                <w:u w:val="none"/>
              </w:rPr>
            </w:pPr>
            <w:r>
              <w:rPr>
                <w:rFonts w:hint="eastAsia" w:ascii="Nimbus Roman No9 L" w:hAnsi="Nimbus Roman No9 L" w:eastAsia="仿宋" w:cs="仿宋"/>
                <w:b/>
                <w:i w:val="0"/>
                <w:color w:val="000000"/>
                <w:kern w:val="0"/>
                <w:sz w:val="28"/>
                <w:szCs w:val="28"/>
                <w:u w:val="none"/>
                <w:lang w:val="en-US" w:eastAsia="zh-CN" w:bidi="ar"/>
              </w:rPr>
              <w:t>创新券名称</w:t>
            </w:r>
          </w:p>
        </w:tc>
        <w:tc>
          <w:tcPr>
            <w:tcW w:w="3688"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Nimbus Roman No9 L" w:hAnsi="Nimbus Roman No9 L" w:eastAsia="仿宋" w:cs="仿宋"/>
                <w:b/>
                <w:i w:val="0"/>
                <w:color w:val="000000"/>
                <w:sz w:val="28"/>
                <w:szCs w:val="28"/>
                <w:u w:val="none"/>
              </w:rPr>
            </w:pPr>
            <w:r>
              <w:rPr>
                <w:rFonts w:hint="eastAsia" w:ascii="Nimbus Roman No9 L" w:hAnsi="Nimbus Roman No9 L" w:eastAsia="仿宋" w:cs="仿宋"/>
                <w:b/>
                <w:i w:val="0"/>
                <w:color w:val="000000"/>
                <w:kern w:val="0"/>
                <w:sz w:val="28"/>
                <w:szCs w:val="28"/>
                <w:u w:val="none"/>
                <w:lang w:val="en-US" w:eastAsia="zh-CN" w:bidi="ar"/>
              </w:rPr>
              <w:t>支持范围</w:t>
            </w:r>
          </w:p>
        </w:tc>
        <w:tc>
          <w:tcPr>
            <w:tcW w:w="41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Nimbus Roman No9 L" w:hAnsi="Nimbus Roman No9 L" w:eastAsia="仿宋" w:cs="仿宋"/>
                <w:b/>
                <w:i w:val="0"/>
                <w:color w:val="000000"/>
                <w:kern w:val="0"/>
                <w:sz w:val="28"/>
                <w:szCs w:val="28"/>
                <w:u w:val="none"/>
                <w:lang w:val="en-US" w:eastAsia="zh-CN" w:bidi="ar"/>
              </w:rPr>
            </w:pPr>
            <w:r>
              <w:rPr>
                <w:rFonts w:hint="eastAsia" w:ascii="Nimbus Roman No9 L" w:hAnsi="Nimbus Roman No9 L" w:eastAsia="仿宋" w:cs="仿宋"/>
                <w:b/>
                <w:i w:val="0"/>
                <w:color w:val="000000"/>
                <w:kern w:val="0"/>
                <w:sz w:val="28"/>
                <w:szCs w:val="28"/>
                <w:u w:val="none"/>
                <w:lang w:val="en-US" w:eastAsia="zh-CN" w:bidi="ar"/>
              </w:rPr>
              <w:t>服务机构入库条件</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Nimbus Roman No9 L" w:hAnsi="Nimbus Roman No9 L" w:eastAsia="仿宋" w:cs="仿宋"/>
                <w:b/>
                <w:i w:val="0"/>
                <w:color w:val="000000"/>
                <w:sz w:val="28"/>
                <w:szCs w:val="28"/>
                <w:u w:val="none"/>
              </w:rPr>
            </w:pPr>
            <w:r>
              <w:rPr>
                <w:rFonts w:hint="eastAsia" w:ascii="Nimbus Roman No9 L" w:hAnsi="Nimbus Roman No9 L" w:eastAsia="仿宋" w:cs="仿宋"/>
                <w:b/>
                <w:i w:val="0"/>
                <w:color w:val="000000"/>
                <w:kern w:val="0"/>
                <w:sz w:val="28"/>
                <w:szCs w:val="28"/>
                <w:u w:val="none"/>
                <w:lang w:val="en-US" w:eastAsia="zh-CN" w:bidi="ar"/>
              </w:rPr>
              <w:t>（2023年第二批）</w:t>
            </w:r>
          </w:p>
        </w:tc>
        <w:tc>
          <w:tcPr>
            <w:tcW w:w="2705"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Nimbus Roman No9 L" w:hAnsi="Nimbus Roman No9 L" w:eastAsia="仿宋" w:cs="仿宋"/>
                <w:b/>
                <w:i w:val="0"/>
                <w:color w:val="000000"/>
                <w:sz w:val="28"/>
                <w:szCs w:val="28"/>
                <w:u w:val="none"/>
              </w:rPr>
            </w:pPr>
            <w:r>
              <w:rPr>
                <w:rFonts w:hint="eastAsia" w:ascii="Nimbus Roman No9 L" w:hAnsi="Nimbus Roman No9 L" w:eastAsia="仿宋" w:cs="仿宋"/>
                <w:b/>
                <w:i w:val="0"/>
                <w:color w:val="000000"/>
                <w:kern w:val="0"/>
                <w:sz w:val="28"/>
                <w:szCs w:val="28"/>
                <w:u w:val="none"/>
                <w:lang w:val="en-US" w:eastAsia="zh-CN" w:bidi="ar"/>
              </w:rPr>
              <w:t>联系人</w:t>
            </w:r>
          </w:p>
        </w:tc>
        <w:tc>
          <w:tcPr>
            <w:tcW w:w="1406"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Nimbus Roman No9 L" w:hAnsi="Nimbus Roman No9 L" w:eastAsia="仿宋" w:cs="仿宋"/>
                <w:b/>
                <w:i w:val="0"/>
                <w:color w:val="000000"/>
                <w:sz w:val="28"/>
                <w:szCs w:val="28"/>
                <w:u w:val="none"/>
              </w:rPr>
            </w:pPr>
            <w:r>
              <w:rPr>
                <w:rFonts w:hint="eastAsia" w:ascii="Nimbus Roman No9 L" w:hAnsi="Nimbus Roman No9 L" w:eastAsia="仿宋" w:cs="仿宋"/>
                <w:b/>
                <w:i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8"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1</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检验检测券</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支持向具有有效</w:t>
            </w:r>
            <w:r>
              <w:rPr>
                <w:rStyle w:val="5"/>
                <w:rFonts w:ascii="Nimbus Roman No9 L" w:hAnsi="Nimbus Roman No9 L"/>
                <w:lang w:val="en-US" w:eastAsia="zh-CN" w:bidi="ar"/>
              </w:rPr>
              <w:t>CMA</w:t>
            </w:r>
            <w:r>
              <w:rPr>
                <w:rStyle w:val="6"/>
                <w:rFonts w:ascii="Nimbus Roman No9 L" w:hAnsi="Nimbus Roman No9 L"/>
                <w:lang w:val="en-US" w:eastAsia="zh-CN" w:bidi="ar"/>
              </w:rPr>
              <w:t>、</w:t>
            </w:r>
            <w:r>
              <w:rPr>
                <w:rStyle w:val="5"/>
                <w:rFonts w:ascii="Nimbus Roman No9 L" w:hAnsi="Nimbus Roman No9 L"/>
                <w:lang w:val="en-US" w:eastAsia="zh-CN" w:bidi="ar"/>
              </w:rPr>
              <w:t>CNAS</w:t>
            </w:r>
            <w:r>
              <w:rPr>
                <w:rStyle w:val="6"/>
                <w:rFonts w:ascii="Nimbus Roman No9 L" w:hAnsi="Nimbus Roman No9 L"/>
                <w:lang w:val="en-US" w:eastAsia="zh-CN" w:bidi="ar"/>
              </w:rPr>
              <w:t>、</w:t>
            </w:r>
            <w:r>
              <w:rPr>
                <w:rStyle w:val="5"/>
                <w:rFonts w:ascii="Nimbus Roman No9 L" w:hAnsi="Nimbus Roman No9 L"/>
                <w:lang w:val="en-US" w:eastAsia="zh-CN" w:bidi="ar"/>
              </w:rPr>
              <w:t>GLP</w:t>
            </w:r>
            <w:r>
              <w:rPr>
                <w:rStyle w:val="6"/>
                <w:rFonts w:ascii="Nimbus Roman No9 L" w:hAnsi="Nimbus Roman No9 L"/>
                <w:lang w:val="en-US" w:eastAsia="zh-CN" w:bidi="ar"/>
              </w:rPr>
              <w:t>等资质的机构购买检验和检测类服务，不支持按照法律法规或强制性标准要求必须开展的强制检测和法定检测等活动。</w:t>
            </w:r>
          </w:p>
        </w:tc>
        <w:tc>
          <w:tcPr>
            <w:tcW w:w="4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具有有效CMA、CNAS、GLP等资质，能够提供委托检验检测服务的企业或事业单位。</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郑运昕（</w:t>
            </w:r>
            <w:r>
              <w:rPr>
                <w:rStyle w:val="7"/>
                <w:rFonts w:ascii="Nimbus Roman No9 L" w:hAnsi="Nimbus Roman No9 L" w:eastAsia="仿宋_GB2312"/>
                <w:lang w:val="en-US" w:eastAsia="zh-CN" w:bidi="ar"/>
              </w:rPr>
              <w:t>CMA/CNAS</w:t>
            </w:r>
            <w:r>
              <w:rPr>
                <w:rStyle w:val="8"/>
                <w:rFonts w:ascii="Nimbus Roman No9 L" w:hAnsi="Nimbus Roman No9 L"/>
                <w:lang w:val="en-US" w:eastAsia="zh-CN" w:bidi="ar"/>
              </w:rPr>
              <w:t>）</w:t>
            </w:r>
            <w:r>
              <w:rPr>
                <w:rStyle w:val="9"/>
                <w:rFonts w:ascii="Nimbus Roman No9 L" w:hAnsi="Nimbus Roman No9 L"/>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王自强（</w:t>
            </w:r>
            <w:r>
              <w:rPr>
                <w:rStyle w:val="9"/>
                <w:rFonts w:ascii="Nimbus Roman No9 L" w:hAnsi="Nimbus Roman No9 L"/>
                <w:lang w:val="en-US" w:eastAsia="zh-CN" w:bidi="ar"/>
              </w:rPr>
              <w:t>GLP）</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66707962</w:t>
            </w:r>
            <w:r>
              <w:rPr>
                <w:rFonts w:hint="eastAsia" w:ascii="Nimbus Roman No9 L" w:hAnsi="Nimbus Roman No9 L" w:eastAsia="仿宋_GB2312" w:cs="仿宋_GB2312"/>
                <w:i w:val="0"/>
                <w:color w:val="000000"/>
                <w:kern w:val="0"/>
                <w:sz w:val="28"/>
                <w:szCs w:val="28"/>
                <w:u w:val="none"/>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66707938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5"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2</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临床试验券</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支持向具有有效</w:t>
            </w:r>
            <w:r>
              <w:rPr>
                <w:rStyle w:val="5"/>
                <w:rFonts w:ascii="Nimbus Roman No9 L" w:hAnsi="Nimbus Roman No9 L"/>
                <w:lang w:val="en-US" w:eastAsia="zh-CN" w:bidi="ar"/>
              </w:rPr>
              <w:t>GCP</w:t>
            </w:r>
            <w:r>
              <w:rPr>
                <w:rStyle w:val="6"/>
                <w:rFonts w:ascii="Nimbus Roman No9 L" w:hAnsi="Nimbus Roman No9 L"/>
                <w:lang w:val="en-US" w:eastAsia="zh-CN" w:bidi="ar"/>
              </w:rPr>
              <w:t>、干细胞临床试验机构等资质的机构购买临床试验类服务。</w:t>
            </w:r>
          </w:p>
        </w:tc>
        <w:tc>
          <w:tcPr>
            <w:tcW w:w="4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具有有效GCP、干细胞临床试验机构等资质，能够提供委托临床试验类服务的企业或事业单位。</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王自强</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66707938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8"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3</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云计算券</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支持向</w:t>
            </w:r>
            <w:r>
              <w:rPr>
                <w:rStyle w:val="5"/>
                <w:rFonts w:ascii="Nimbus Roman No9 L" w:hAnsi="Nimbus Roman No9 L"/>
                <w:lang w:val="en-US" w:eastAsia="zh-CN" w:bidi="ar"/>
              </w:rPr>
              <w:t>E</w:t>
            </w:r>
            <w:r>
              <w:rPr>
                <w:rStyle w:val="6"/>
                <w:rFonts w:ascii="Nimbus Roman No9 L" w:hAnsi="Nimbus Roman No9 L"/>
                <w:lang w:val="en-US" w:eastAsia="zh-CN" w:bidi="ar"/>
              </w:rPr>
              <w:t>级计算服务商购买云计算服务（利用云计算进行的科技创新服务），额度以每个单位上云购买、使用云计算资源或服务进行科技创新的费用为基数计算。</w:t>
            </w:r>
          </w:p>
        </w:tc>
        <w:tc>
          <w:tcPr>
            <w:tcW w:w="4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具有E级（百亿亿次）计算能力，能够提供E级计算云服务（利用云计算进行的科技创新服务）的企业或事业单位。</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张文升</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66707970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1"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4</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信创券</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支持向“</w:t>
            </w:r>
            <w:r>
              <w:rPr>
                <w:rStyle w:val="5"/>
                <w:rFonts w:ascii="Nimbus Roman No9 L" w:hAnsi="Nimbus Roman No9 L"/>
                <w:lang w:val="en-US" w:eastAsia="zh-CN" w:bidi="ar"/>
              </w:rPr>
              <w:t>PK</w:t>
            </w:r>
            <w:r>
              <w:rPr>
                <w:rStyle w:val="6"/>
                <w:rFonts w:ascii="Nimbus Roman No9 L" w:hAnsi="Nimbus Roman No9 L"/>
                <w:lang w:val="en-US" w:eastAsia="zh-CN" w:bidi="ar"/>
              </w:rPr>
              <w:t>”体系适配服务商购买体系适配测试服务（以确保软硬件能在“</w:t>
            </w:r>
            <w:r>
              <w:rPr>
                <w:rStyle w:val="5"/>
                <w:rFonts w:ascii="Nimbus Roman No9 L" w:hAnsi="Nimbus Roman No9 L"/>
                <w:lang w:val="en-US" w:eastAsia="zh-CN" w:bidi="ar"/>
              </w:rPr>
              <w:t>PK</w:t>
            </w:r>
            <w:r>
              <w:rPr>
                <w:rStyle w:val="6"/>
                <w:rFonts w:ascii="Nimbus Roman No9 L" w:hAnsi="Nimbus Roman No9 L"/>
                <w:lang w:val="en-US" w:eastAsia="zh-CN" w:bidi="ar"/>
              </w:rPr>
              <w:t>”体系上正常运行为目的）。</w:t>
            </w:r>
          </w:p>
        </w:tc>
        <w:tc>
          <w:tcPr>
            <w:tcW w:w="4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具有支持适配“PK”体系的测试能力，能够提供“PK”体系适配、测试服务（以确保软硬件能在“PK”体系上正常运行为目的）的企业或事业单位。</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张文升</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66707970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5</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文献券</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支持向科技文献服务机构购买科技文献下载服务（最多支持</w:t>
            </w:r>
            <w:r>
              <w:rPr>
                <w:rStyle w:val="5"/>
                <w:rFonts w:ascii="Nimbus Roman No9 L" w:hAnsi="Nimbus Roman No9 L"/>
                <w:lang w:val="en-US" w:eastAsia="zh-CN" w:bidi="ar"/>
              </w:rPr>
              <w:t>2</w:t>
            </w:r>
            <w:r>
              <w:rPr>
                <w:rStyle w:val="6"/>
                <w:rFonts w:ascii="Nimbus Roman No9 L" w:hAnsi="Nimbus Roman No9 L"/>
                <w:lang w:val="en-US" w:eastAsia="zh-CN" w:bidi="ar"/>
              </w:rPr>
              <w:t>年，首年全免，次年减半）。</w:t>
            </w:r>
          </w:p>
        </w:tc>
        <w:tc>
          <w:tcPr>
            <w:tcW w:w="4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符合以下条件的科技文献服务机构：具备电子出版物出版许可证、网络出版服务许可证或出版物经营许可证，或与相关出版机构合作协议，或国家机关授予的科技文献服务职能说明或委托协议；可提供的科技文献服务包含但不限于期刊、博硕士学位论文、报纸、国内会议、国际会议、专利、科技成果、标准、法规、工具书、年鉴；必须保证有合法版权。科技文献下载服务应通过文献传递等可计算文献下载量的方式提供。</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郑运昕</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sz w:val="28"/>
                <w:szCs w:val="28"/>
                <w:u w:val="none"/>
                <w:lang w:val="en-US" w:eastAsia="zh-CN"/>
              </w:rPr>
              <w:t>66707962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8"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成果评价券</w:t>
            </w: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支持能提供成果评价的服务机构提供以市场为导向的成果评价服务。</w:t>
            </w:r>
          </w:p>
        </w:tc>
        <w:tc>
          <w:tcPr>
            <w:tcW w:w="4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b w:val="0"/>
                <w:bCs w:val="0"/>
                <w:i w:val="0"/>
                <w:color w:val="000000"/>
                <w:sz w:val="28"/>
                <w:szCs w:val="28"/>
                <w:u w:val="none"/>
              </w:rPr>
            </w:pPr>
            <w:r>
              <w:rPr>
                <w:rStyle w:val="6"/>
                <w:rFonts w:ascii="Nimbus Roman No9 L" w:hAnsi="Nimbus Roman No9 L"/>
                <w:b w:val="0"/>
                <w:bCs w:val="0"/>
                <w:lang w:val="en-US" w:eastAsia="zh-CN" w:bidi="ar"/>
              </w:rPr>
              <w:t>经市科技局认定的技术转移机构</w:t>
            </w:r>
            <w:r>
              <w:rPr>
                <w:rStyle w:val="10"/>
                <w:rFonts w:ascii="Nimbus Roman No9 L" w:hAnsi="Nimbus Roman No9 L"/>
                <w:b w:val="0"/>
                <w:bCs w:val="0"/>
                <w:lang w:val="en-US" w:eastAsia="zh-CN" w:bidi="ar"/>
              </w:rPr>
              <w:t>(登记号为2023开头）</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辛鹏</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66707999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7</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中试验证券</w:t>
            </w: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支持向中试验证平台单位购买中试放大服务。</w:t>
            </w:r>
          </w:p>
        </w:tc>
        <w:tc>
          <w:tcPr>
            <w:tcW w:w="4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Nimbus Roman No9 L" w:hAnsi="Nimbus Roman No9 L" w:eastAsia="仿宋_GB2312" w:cs="仿宋_GB2312"/>
                <w:b w:val="0"/>
                <w:bCs w:val="0"/>
                <w:i w:val="0"/>
                <w:color w:val="000000"/>
                <w:sz w:val="28"/>
                <w:szCs w:val="28"/>
                <w:u w:val="none"/>
              </w:rPr>
            </w:pPr>
            <w:r>
              <w:rPr>
                <w:rStyle w:val="6"/>
                <w:rFonts w:ascii="Nimbus Roman No9 L" w:hAnsi="Nimbus Roman No9 L"/>
                <w:b w:val="0"/>
                <w:bCs w:val="0"/>
                <w:lang w:val="en-US" w:eastAsia="zh-CN" w:bidi="ar"/>
              </w:rPr>
              <w:t>经国家和市级认定</w:t>
            </w:r>
            <w:r>
              <w:rPr>
                <w:rStyle w:val="10"/>
                <w:rFonts w:ascii="Nimbus Roman No9 L" w:hAnsi="Nimbus Roman No9 L"/>
                <w:b w:val="0"/>
                <w:bCs w:val="0"/>
                <w:lang w:val="en-US" w:eastAsia="zh-CN" w:bidi="ar"/>
              </w:rPr>
              <w:t>或入库</w:t>
            </w:r>
            <w:r>
              <w:rPr>
                <w:rStyle w:val="6"/>
                <w:rFonts w:ascii="Nimbus Roman No9 L" w:hAnsi="Nimbus Roman No9 L"/>
                <w:b w:val="0"/>
                <w:bCs w:val="0"/>
                <w:lang w:val="en-US" w:eastAsia="zh-CN" w:bidi="ar"/>
              </w:rPr>
              <w:t>的中试平台和概念验证平台（含技创中心、工程中心、产业技术研究院、大学科技园、概念验证中心等）</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辛鹏</w:t>
            </w:r>
            <w:r>
              <w:rPr>
                <w:rStyle w:val="7"/>
                <w:rFonts w:ascii="Nimbus Roman No9 L" w:hAnsi="Nimbus Roman No9 L" w:eastAsia="仿宋_GB2312"/>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王自强（生物医药类）</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66707999</w:t>
            </w:r>
            <w:r>
              <w:rPr>
                <w:rFonts w:hint="eastAsia" w:ascii="Nimbus Roman No9 L" w:hAnsi="Nimbus Roman No9 L" w:eastAsia="仿宋_GB2312" w:cs="仿宋_GB2312"/>
                <w:i w:val="0"/>
                <w:color w:val="000000"/>
                <w:kern w:val="0"/>
                <w:sz w:val="28"/>
                <w:szCs w:val="28"/>
                <w:u w:val="none"/>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66707938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8</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科技金融服务券</w:t>
            </w: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科技企业以股权融资或上市为目的，向服务机构购买股权结构设计，技术价值评估、技术入股评估等服务。其中，股权结构设计服务须引入非自然人的外部投资人或者股份制改造，聘请服务机构出具股权结构设计方案并指导科技企业实施完成增加注册资本、工商变更等工作；技术价值评估、技术入股评估服务应提供经中国资产评估协会备案的资产评估机构出具的评估报告（不含评估咨询报告）。每家科技企业每年只能使用一次科技金融服务券。</w:t>
            </w:r>
          </w:p>
        </w:tc>
        <w:tc>
          <w:tcPr>
            <w:tcW w:w="4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Nimbus Roman No9 L" w:hAnsi="Nimbus Roman No9 L" w:eastAsia="仿宋_GB2312" w:cs="仿宋_GB2312"/>
                <w:b w:val="0"/>
                <w:bCs w:val="0"/>
                <w:i w:val="0"/>
                <w:color w:val="000000"/>
                <w:sz w:val="28"/>
                <w:szCs w:val="28"/>
                <w:u w:val="none"/>
              </w:rPr>
            </w:pPr>
            <w:r>
              <w:rPr>
                <w:rFonts w:hint="eastAsia" w:ascii="Nimbus Roman No9 L" w:hAnsi="Nimbus Roman No9 L" w:eastAsia="仿宋_GB2312" w:cs="仿宋_GB2312"/>
                <w:b w:val="0"/>
                <w:bCs w:val="0"/>
                <w:i w:val="0"/>
                <w:color w:val="000000"/>
                <w:kern w:val="0"/>
                <w:sz w:val="28"/>
                <w:szCs w:val="28"/>
                <w:u w:val="none"/>
                <w:lang w:val="en-US" w:eastAsia="zh-CN" w:bidi="ar"/>
              </w:rPr>
              <w:t>股权结构设计：能够提供股权结构设计服务的证券公司、投资机构、会计师事务所、律师事务所等服务机构。</w:t>
            </w:r>
            <w:r>
              <w:rPr>
                <w:rFonts w:hint="eastAsia" w:ascii="Nimbus Roman No9 L" w:hAnsi="Nimbus Roman No9 L" w:eastAsia="仿宋_GB2312" w:cs="仿宋_GB2312"/>
                <w:b w:val="0"/>
                <w:bCs w:val="0"/>
                <w:i w:val="0"/>
                <w:color w:val="000000"/>
                <w:kern w:val="0"/>
                <w:sz w:val="28"/>
                <w:szCs w:val="28"/>
                <w:u w:val="none"/>
                <w:lang w:val="en-US" w:eastAsia="zh-CN" w:bidi="ar"/>
              </w:rPr>
              <w:br w:type="textWrapping"/>
            </w:r>
            <w:r>
              <w:rPr>
                <w:rFonts w:hint="eastAsia" w:ascii="Nimbus Roman No9 L" w:hAnsi="Nimbus Roman No9 L" w:eastAsia="仿宋_GB2312" w:cs="仿宋_GB2312"/>
                <w:b w:val="0"/>
                <w:bCs w:val="0"/>
                <w:i w:val="0"/>
                <w:color w:val="000000"/>
                <w:kern w:val="0"/>
                <w:sz w:val="28"/>
                <w:szCs w:val="28"/>
                <w:u w:val="none"/>
                <w:lang w:val="en-US" w:eastAsia="zh-CN" w:bidi="ar"/>
              </w:rPr>
              <w:t>技术价值评估、技术入股评估：经中国资产评估协会备案的资产评估机构；能够提供技术价值评估、技术入股评估服务的机构。</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王雪</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66707975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9</w:t>
            </w:r>
          </w:p>
        </w:tc>
        <w:tc>
          <w:tcPr>
            <w:tcW w:w="156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专业咨询券</w:t>
            </w: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支持企业向专业科技咨询机构购买可行性研究、新产品或新技术调查等服务。</w:t>
            </w:r>
          </w:p>
        </w:tc>
        <w:tc>
          <w:tcPr>
            <w:tcW w:w="41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Nimbus Roman No9 L" w:hAnsi="Nimbus Roman No9 L" w:eastAsia="仿宋_GB2312" w:cs="仿宋_GB2312"/>
                <w:b w:val="0"/>
                <w:bCs w:val="0"/>
                <w:i w:val="0"/>
                <w:color w:val="000000"/>
                <w:sz w:val="28"/>
                <w:szCs w:val="28"/>
                <w:u w:val="none"/>
              </w:rPr>
            </w:pPr>
            <w:r>
              <w:rPr>
                <w:rStyle w:val="6"/>
                <w:rFonts w:ascii="Nimbus Roman No9 L" w:hAnsi="Nimbus Roman No9 L"/>
                <w:b w:val="0"/>
                <w:bCs w:val="0"/>
                <w:i w:val="0"/>
                <w:iCs w:val="0"/>
                <w:u w:val="none"/>
                <w:lang w:val="en-US" w:eastAsia="zh-CN" w:bidi="ar"/>
              </w:rPr>
              <w:t>近三年，有为企业提供专业咨询等服务的成功案例5个以上</w:t>
            </w:r>
            <w:r>
              <w:rPr>
                <w:rStyle w:val="6"/>
                <w:rFonts w:hint="eastAsia" w:ascii="Nimbus Roman No9 L" w:hAnsi="Nimbus Roman No9 L"/>
                <w:b w:val="0"/>
                <w:bCs w:val="0"/>
                <w:i w:val="0"/>
                <w:iCs w:val="0"/>
                <w:u w:val="none"/>
                <w:lang w:val="en-US" w:eastAsia="zh-CN" w:bidi="ar"/>
              </w:rPr>
              <w:t>,</w:t>
            </w:r>
            <w:r>
              <w:rPr>
                <w:rStyle w:val="6"/>
                <w:rFonts w:ascii="Nimbus Roman No9 L" w:hAnsi="Nimbus Roman No9 L"/>
                <w:b w:val="0"/>
                <w:bCs w:val="0"/>
                <w:i w:val="0"/>
                <w:iCs w:val="0"/>
                <w:u w:val="none"/>
                <w:lang w:val="en-US" w:eastAsia="zh-CN" w:bidi="ar"/>
              </w:rPr>
              <w:t>其中，至少包含1次为曾入选“世界500强”、“中国500强”或天津制造业企业100强的企业提供服务的成功案例；</w:t>
            </w:r>
            <w:r>
              <w:rPr>
                <w:rStyle w:val="6"/>
                <w:rFonts w:ascii="Nimbus Roman No9 L" w:hAnsi="Nimbus Roman No9 L"/>
                <w:b w:val="0"/>
                <w:bCs w:val="0"/>
                <w:lang w:val="en-US" w:eastAsia="zh-CN" w:bidi="ar"/>
              </w:rPr>
              <w:t>具有高级职称或研究生以上学历的人数占职工总人数的比例不低于15%；全年月平均在职职工人数在10人以上；应具备相应技术领域的专业数据库或大数据信息平台。</w:t>
            </w:r>
            <w:r>
              <w:rPr>
                <w:rStyle w:val="6"/>
                <w:rFonts w:ascii="Nimbus Roman No9 L" w:hAnsi="Nimbus Roman No9 L"/>
                <w:b w:val="0"/>
                <w:bCs w:val="0"/>
                <w:lang w:val="en-US" w:eastAsia="zh-CN" w:bidi="ar"/>
              </w:rPr>
              <w:br w:type="textWrapping"/>
            </w:r>
            <w:r>
              <w:rPr>
                <w:rStyle w:val="6"/>
                <w:rFonts w:ascii="Nimbus Roman No9 L" w:hAnsi="Nimbus Roman No9 L"/>
                <w:b w:val="0"/>
                <w:bCs w:val="0"/>
                <w:lang w:val="en-US" w:eastAsia="zh-CN" w:bidi="ar"/>
              </w:rPr>
              <w:t>注：世界500强是指美国《财富》杂志公布的“世界500强”企业名单；中国500强是指中国企业联合会、中国企业家协会公布“中国500强”企业名单；天津制造业企业100强是指天津市企业联合会、天津市企业家协会发布的“天津制造业企业100强”榜单。</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郑运昕</w:t>
            </w:r>
            <w:r>
              <w:rPr>
                <w:rFonts w:hint="eastAsia" w:ascii="Nimbus Roman No9 L" w:hAnsi="Nimbus Roman No9 L" w:eastAsia="仿宋_GB2312" w:cs="仿宋_GB2312"/>
                <w:i w:val="0"/>
                <w:color w:val="000000"/>
                <w:kern w:val="0"/>
                <w:sz w:val="28"/>
                <w:szCs w:val="28"/>
                <w:u w:val="none"/>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王自强（生物医药类）</w:t>
            </w:r>
            <w:r>
              <w:rPr>
                <w:rFonts w:hint="eastAsia" w:ascii="Nimbus Roman No9 L" w:hAnsi="Nimbus Roman No9 L" w:eastAsia="仿宋_GB2312" w:cs="仿宋_GB2312"/>
                <w:i w:val="0"/>
                <w:color w:val="000000"/>
                <w:kern w:val="0"/>
                <w:sz w:val="28"/>
                <w:szCs w:val="28"/>
                <w:u w:val="none"/>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张文升（电子信息类）</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66707962</w:t>
            </w:r>
            <w:r>
              <w:rPr>
                <w:rFonts w:hint="eastAsia" w:ascii="Nimbus Roman No9 L" w:hAnsi="Nimbus Roman No9 L" w:eastAsia="仿宋_GB2312" w:cs="仿宋_GB2312"/>
                <w:i w:val="0"/>
                <w:color w:val="000000"/>
                <w:kern w:val="0"/>
                <w:sz w:val="28"/>
                <w:szCs w:val="28"/>
                <w:u w:val="none"/>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66707938</w:t>
            </w:r>
            <w:r>
              <w:rPr>
                <w:rFonts w:hint="eastAsia" w:ascii="Nimbus Roman No9 L" w:hAnsi="Nimbus Roman No9 L" w:eastAsia="仿宋_GB2312" w:cs="仿宋_GB2312"/>
                <w:i w:val="0"/>
                <w:color w:val="000000"/>
                <w:kern w:val="0"/>
                <w:sz w:val="28"/>
                <w:szCs w:val="28"/>
                <w:u w:val="none"/>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66707970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9" w:hRule="atLeast"/>
        </w:trPr>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10</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高企券</w:t>
            </w:r>
          </w:p>
        </w:tc>
        <w:tc>
          <w:tcPr>
            <w:tcW w:w="3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支持企业在申请国家级高新技术企业（简称高企）认定过程中，向提供高企认定服务的咨询服务机构购买认定材料编纂、线上填报等高企认定“一站式”综合服务。仅专项审计报告服务、知识产权服务的财务中介机构、知识产权代理机构不予支持。</w:t>
            </w:r>
          </w:p>
        </w:tc>
        <w:tc>
          <w:tcPr>
            <w:tcW w:w="4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符合以下条件的咨询机构：</w:t>
            </w:r>
            <w:r>
              <w:rPr>
                <w:rFonts w:hint="eastAsia" w:ascii="Nimbus Roman No9 L" w:hAnsi="Nimbus Roman No9 L" w:eastAsia="仿宋_GB2312" w:cs="仿宋_GB2312"/>
                <w:i w:val="0"/>
                <w:color w:val="000000"/>
                <w:kern w:val="0"/>
                <w:sz w:val="28"/>
                <w:szCs w:val="28"/>
                <w:u w:val="none"/>
                <w:lang w:val="en-US" w:eastAsia="zh-CN" w:bidi="ar"/>
              </w:rPr>
              <w:br w:type="textWrapping"/>
            </w:r>
            <w:r>
              <w:rPr>
                <w:rFonts w:hint="eastAsia" w:ascii="Nimbus Roman No9 L" w:hAnsi="Nimbus Roman No9 L" w:eastAsia="仿宋_GB2312" w:cs="仿宋_GB2312"/>
                <w:i w:val="0"/>
                <w:color w:val="000000"/>
                <w:kern w:val="0"/>
                <w:sz w:val="28"/>
                <w:szCs w:val="28"/>
                <w:u w:val="none"/>
                <w:lang w:val="en-US" w:eastAsia="zh-CN" w:bidi="ar"/>
              </w:rPr>
              <w:t>为企业辅导通过高新技术企业认定的成功案例5个以上；有专业化的服务团队，或与有资质专利代理机构、财务中介机构开展长期合作。</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kern w:val="0"/>
                <w:sz w:val="28"/>
                <w:szCs w:val="28"/>
                <w:u w:val="none"/>
                <w:lang w:val="en-US" w:eastAsia="zh-CN" w:bidi="ar"/>
              </w:rPr>
              <w:t>郑运昕</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lang w:val="en-US" w:eastAsia="zh-CN"/>
              </w:rPr>
            </w:pPr>
            <w:r>
              <w:rPr>
                <w:rFonts w:hint="eastAsia" w:ascii="Nimbus Roman No9 L" w:hAnsi="Nimbus Roman No9 L" w:eastAsia="仿宋_GB2312" w:cs="仿宋_GB2312"/>
                <w:i w:val="0"/>
                <w:color w:val="000000"/>
                <w:sz w:val="28"/>
                <w:szCs w:val="28"/>
                <w:u w:val="none"/>
                <w:lang w:val="en-US" w:eastAsia="zh-CN"/>
              </w:rPr>
              <w:t>66707962</w:t>
            </w:r>
          </w:p>
          <w:p>
            <w:pPr>
              <w:keepNext w:val="0"/>
              <w:keepLines w:val="0"/>
              <w:widowControl/>
              <w:suppressLineNumbers w:val="0"/>
              <w:jc w:val="center"/>
              <w:textAlignment w:val="center"/>
              <w:rPr>
                <w:rFonts w:hint="eastAsia" w:ascii="Nimbus Roman No9 L" w:hAnsi="Nimbus Roman No9 L" w:eastAsia="仿宋_GB2312" w:cs="仿宋_GB2312"/>
                <w:i w:val="0"/>
                <w:color w:val="000000"/>
                <w:sz w:val="28"/>
                <w:szCs w:val="28"/>
                <w:u w:val="none"/>
              </w:rPr>
            </w:pPr>
            <w:r>
              <w:rPr>
                <w:rFonts w:hint="eastAsia" w:ascii="Nimbus Roman No9 L" w:hAnsi="Nimbus Roman No9 L" w:eastAsia="仿宋_GB2312" w:cs="仿宋_GB2312"/>
                <w:i w:val="0"/>
                <w:color w:val="000000"/>
                <w:sz w:val="28"/>
                <w:szCs w:val="28"/>
                <w:u w:val="none"/>
                <w:lang w:val="en-US" w:eastAsia="zh-CN"/>
              </w:rPr>
              <w:t>66211325</w:t>
            </w:r>
          </w:p>
        </w:tc>
      </w:tr>
    </w:tbl>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77644E"/>
    <w:rsid w:val="F7776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pPr>
  </w:style>
  <w:style w:type="character" w:customStyle="1" w:styleId="5">
    <w:name w:val="font71"/>
    <w:basedOn w:val="4"/>
    <w:qFormat/>
    <w:uiPriority w:val="0"/>
    <w:rPr>
      <w:rFonts w:ascii="Nimbus Roman No9 L" w:hAnsi="Nimbus Roman No9 L" w:eastAsia="Nimbus Roman No9 L" w:cs="Nimbus Roman No9 L"/>
      <w:color w:val="000000"/>
      <w:sz w:val="28"/>
      <w:szCs w:val="28"/>
      <w:u w:val="none"/>
    </w:rPr>
  </w:style>
  <w:style w:type="character" w:customStyle="1" w:styleId="6">
    <w:name w:val="font51"/>
    <w:basedOn w:val="4"/>
    <w:qFormat/>
    <w:uiPriority w:val="0"/>
    <w:rPr>
      <w:rFonts w:hint="eastAsia" w:ascii="仿宋_GB2312" w:eastAsia="仿宋_GB2312" w:cs="仿宋_GB2312"/>
      <w:color w:val="000000"/>
      <w:sz w:val="28"/>
      <w:szCs w:val="28"/>
      <w:u w:val="none"/>
    </w:rPr>
  </w:style>
  <w:style w:type="character" w:customStyle="1" w:styleId="7">
    <w:name w:val="font111"/>
    <w:basedOn w:val="4"/>
    <w:qFormat/>
    <w:uiPriority w:val="0"/>
    <w:rPr>
      <w:rFonts w:ascii="Arial" w:hAnsi="Arial" w:cs="Arial"/>
      <w:color w:val="000000"/>
      <w:sz w:val="24"/>
      <w:szCs w:val="24"/>
      <w:u w:val="none"/>
    </w:rPr>
  </w:style>
  <w:style w:type="character" w:customStyle="1" w:styleId="8">
    <w:name w:val="font91"/>
    <w:basedOn w:val="4"/>
    <w:qFormat/>
    <w:uiPriority w:val="0"/>
    <w:rPr>
      <w:rFonts w:ascii="微软雅黑" w:hAnsi="微软雅黑" w:eastAsia="微软雅黑" w:cs="微软雅黑"/>
      <w:color w:val="000000"/>
      <w:sz w:val="24"/>
      <w:szCs w:val="24"/>
      <w:u w:val="none"/>
    </w:rPr>
  </w:style>
  <w:style w:type="character" w:customStyle="1" w:styleId="9">
    <w:name w:val="font01"/>
    <w:basedOn w:val="4"/>
    <w:qFormat/>
    <w:uiPriority w:val="0"/>
    <w:rPr>
      <w:rFonts w:hint="eastAsia" w:ascii="宋体" w:hAnsi="宋体" w:eastAsia="宋体" w:cs="宋体"/>
      <w:color w:val="000000"/>
      <w:sz w:val="24"/>
      <w:szCs w:val="24"/>
      <w:u w:val="none"/>
    </w:rPr>
  </w:style>
  <w:style w:type="character" w:customStyle="1" w:styleId="10">
    <w:name w:val="font81"/>
    <w:basedOn w:val="4"/>
    <w:qFormat/>
    <w:uiPriority w:val="0"/>
    <w:rPr>
      <w:rFonts w:hint="eastAsia" w:ascii="仿宋_GB2312" w:eastAsia="仿宋_GB2312" w:cs="仿宋_GB2312"/>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2023-06-30T09:08:00Z</dcterms:created>
  <dc:creator>kylin</dc:creator>
  <cp:lastModifiedBy>kylin</cp:lastModifiedBy>
  <dcterms:modified xsi:type="dcterms:W3CDTF">2023-06-30T09:09:19Z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