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bCs/>
          <w:i w:val="0"/>
          <w:iCs w:val="0"/>
          <w:caps w:val="0"/>
          <w:color w:val="333333"/>
          <w:spacing w:val="0"/>
          <w:sz w:val="44"/>
          <w:szCs w:val="44"/>
        </w:rPr>
      </w:pPr>
      <w:r>
        <w:rPr>
          <w:rFonts w:hint="eastAsia" w:ascii="方正小标宋简体" w:hAnsi="方正小标宋简体" w:eastAsia="方正小标宋简体" w:cs="方正小标宋简体"/>
          <w:b/>
          <w:bCs/>
          <w:i w:val="0"/>
          <w:iCs w:val="0"/>
          <w:caps w:val="0"/>
          <w:color w:val="333333"/>
          <w:spacing w:val="0"/>
          <w:kern w:val="0"/>
          <w:sz w:val="44"/>
          <w:szCs w:val="44"/>
          <w:bdr w:val="none" w:color="auto" w:sz="0" w:space="0"/>
          <w:shd w:val="clear" w:fill="FFFFFF"/>
          <w:lang w:val="en-US" w:eastAsia="zh-CN" w:bidi="ar"/>
        </w:rPr>
        <w:t>市科技局关于组织开展2023年度天津市雏鹰企业、瞪羚企业、科技领军企业和科技领军培育企业评价工作的通知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spacing w:val="0"/>
          <w:kern w:val="0"/>
          <w:sz w:val="21"/>
          <w:szCs w:val="21"/>
          <w:u w:val="none"/>
          <w:shd w:val="clear" w:fill="FFFFFF"/>
          <w:lang w:val="en-US" w:eastAsia="zh-CN" w:bidi="ar"/>
        </w:rPr>
        <w:instrText xml:space="preserve"> HYPERLINK "javascript:void(0);" </w:instrText>
      </w:r>
      <w:r>
        <w:rPr>
          <w:rFonts w:hint="eastAsia" w:ascii="微软雅黑" w:hAnsi="微软雅黑" w:eastAsia="微软雅黑" w:cs="微软雅黑"/>
          <w:i w:val="0"/>
          <w:iCs w:val="0"/>
          <w:caps w:val="0"/>
          <w:spacing w:val="0"/>
          <w:kern w:val="0"/>
          <w:sz w:val="21"/>
          <w:szCs w:val="21"/>
          <w:u w:val="none"/>
          <w:shd w:val="clear" w:fill="FFFFFF"/>
          <w:lang w:val="en-US" w:eastAsia="zh-CN" w:bidi="ar"/>
        </w:rPr>
        <w:fldChar w:fldCharType="separate"/>
      </w:r>
      <w:r>
        <w:rPr>
          <w:rFonts w:hint="eastAsia" w:ascii="微软雅黑" w:hAnsi="微软雅黑" w:eastAsia="微软雅黑" w:cs="微软雅黑"/>
          <w:i w:val="0"/>
          <w:iCs w:val="0"/>
          <w:caps w:val="0"/>
          <w:spacing w:val="0"/>
          <w:kern w:val="0"/>
          <w:sz w:val="21"/>
          <w:szCs w:val="21"/>
          <w:u w:val="none"/>
          <w:shd w:val="clear" w:fill="FFFFFF"/>
          <w:lang w:val="en-US" w:eastAsia="zh-CN" w:bidi="ar"/>
        </w:rPr>
        <w:fldChar w:fldCharType="end"/>
      </w:r>
      <w:r>
        <w:rPr>
          <w:rFonts w:hint="eastAsia" w:ascii="微软雅黑" w:hAnsi="微软雅黑" w:eastAsia="微软雅黑" w:cs="微软雅黑"/>
          <w:i w:val="0"/>
          <w:iCs w:val="0"/>
          <w:caps w:val="0"/>
          <w:color w:val="313131"/>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iCs w:val="0"/>
          <w:caps w:val="0"/>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spacing w:val="0"/>
          <w:kern w:val="0"/>
          <w:sz w:val="21"/>
          <w:szCs w:val="21"/>
          <w:u w:val="none"/>
          <w:shd w:val="clear" w:fill="FFFFFF"/>
          <w:lang w:val="en-US" w:eastAsia="zh-CN" w:bidi="ar"/>
        </w:rPr>
        <w:instrText xml:space="preserve"> HYPERLINK "javascript:void(0);" </w:instrText>
      </w:r>
      <w:r>
        <w:rPr>
          <w:rFonts w:hint="eastAsia" w:ascii="微软雅黑" w:hAnsi="微软雅黑" w:eastAsia="微软雅黑" w:cs="微软雅黑"/>
          <w:i w:val="0"/>
          <w:iCs w:val="0"/>
          <w:caps w:val="0"/>
          <w:spacing w:val="0"/>
          <w:kern w:val="0"/>
          <w:sz w:val="21"/>
          <w:szCs w:val="21"/>
          <w:u w:val="none"/>
          <w:shd w:val="clear" w:fill="FFFFFF"/>
          <w:lang w:val="en-US" w:eastAsia="zh-CN" w:bidi="ar"/>
        </w:rPr>
        <w:fldChar w:fldCharType="separate"/>
      </w:r>
      <w:r>
        <w:rPr>
          <w:rFonts w:hint="eastAsia" w:ascii="微软雅黑" w:hAnsi="微软雅黑" w:eastAsia="微软雅黑" w:cs="微软雅黑"/>
          <w:i w:val="0"/>
          <w:iCs w:val="0"/>
          <w:caps w:val="0"/>
          <w:spacing w:val="0"/>
          <w:kern w:val="0"/>
          <w:sz w:val="21"/>
          <w:szCs w:val="21"/>
          <w:u w:val="none"/>
          <w:shd w:val="clear" w:fill="FFFFFF"/>
          <w:lang w:val="en-US" w:eastAsia="zh-CN" w:bidi="ar"/>
        </w:rPr>
        <w:fldChar w:fldCharType="end"/>
      </w:r>
      <w:r>
        <w:rPr>
          <w:rFonts w:hint="eastAsia" w:ascii="微软雅黑" w:hAnsi="微软雅黑" w:eastAsia="微软雅黑" w:cs="微软雅黑"/>
          <w:i w:val="0"/>
          <w:iCs w:val="0"/>
          <w:caps w:val="0"/>
          <w:color w:val="313131"/>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iCs w:val="0"/>
          <w:caps w:val="0"/>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spacing w:val="0"/>
          <w:kern w:val="0"/>
          <w:sz w:val="21"/>
          <w:szCs w:val="21"/>
          <w:u w:val="none"/>
          <w:shd w:val="clear" w:fill="FFFFFF"/>
          <w:lang w:val="en-US" w:eastAsia="zh-CN" w:bidi="ar"/>
        </w:rPr>
        <w:instrText xml:space="preserve"> HYPERLINK "javascript:print();" </w:instrText>
      </w:r>
      <w:r>
        <w:rPr>
          <w:rFonts w:hint="eastAsia" w:ascii="微软雅黑" w:hAnsi="微软雅黑" w:eastAsia="微软雅黑" w:cs="微软雅黑"/>
          <w:i w:val="0"/>
          <w:iCs w:val="0"/>
          <w:caps w:val="0"/>
          <w:spacing w:val="0"/>
          <w:kern w:val="0"/>
          <w:sz w:val="21"/>
          <w:szCs w:val="21"/>
          <w:u w:val="none"/>
          <w:shd w:val="clear" w:fill="FFFFFF"/>
          <w:lang w:val="en-US" w:eastAsia="zh-CN" w:bidi="ar"/>
        </w:rPr>
        <w:fldChar w:fldCharType="separate"/>
      </w:r>
      <w:r>
        <w:rPr>
          <w:rFonts w:hint="eastAsia" w:ascii="微软雅黑" w:hAnsi="微软雅黑" w:eastAsia="微软雅黑" w:cs="微软雅黑"/>
          <w:i w:val="0"/>
          <w:iCs w:val="0"/>
          <w:caps w:val="0"/>
          <w:spacing w:val="0"/>
          <w:kern w:val="0"/>
          <w:sz w:val="21"/>
          <w:szCs w:val="21"/>
          <w:u w:val="none"/>
          <w:shd w:val="clear" w:fill="FFFFFF"/>
          <w:lang w:val="en-US" w:eastAsia="zh-CN" w:bidi="ar"/>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13131"/>
          <w:spacing w:val="0"/>
          <w:sz w:val="32"/>
          <w:szCs w:val="32"/>
          <w:bdr w:val="none" w:color="auto" w:sz="0" w:space="0"/>
          <w:shd w:val="clear" w:fill="FFFFFF"/>
        </w:rPr>
        <w:t>各有关单位：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13131"/>
          <w:spacing w:val="0"/>
          <w:sz w:val="32"/>
          <w:szCs w:val="32"/>
          <w:bdr w:val="none" w:color="auto" w:sz="0" w:space="0"/>
          <w:shd w:val="clear" w:fill="FFFFFF"/>
        </w:rPr>
        <w:t>经研究决定，自2月1日起启动2023年度天津市雏鹰、瞪羚、科技领军和科技领军培育企业评价工作。现将有关事宜通知如下：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13131"/>
          <w:spacing w:val="0"/>
          <w:sz w:val="32"/>
          <w:szCs w:val="32"/>
          <w:bdr w:val="none" w:color="auto" w:sz="0" w:space="0"/>
          <w:shd w:val="clear" w:fill="FFFFFF"/>
        </w:rPr>
        <w:t>一、各有意愿参评企业须在完成本年度企业所得税汇算清缴后，按照《天津市雏鹰企业、瞪羚企业、科技领军企业和科技领军培育企业评价与支持办法》（津科规〔2021〕3号）和政策解读要求，登录天津市雏鹰/瞪羚/科技领军企业评价系统（网址：https://i.tten.cn/zffw/cydllj）在线填写、提交评价信息和佐证材料。评价服务系统已经嵌入了企业知识产权、科技奖励等部分信息数据。企业在填报时，请首先从系统中自动获取相关数据，系统中没有嵌入的数据，请企业填写并上传相关佐证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13131"/>
          <w:spacing w:val="0"/>
          <w:sz w:val="32"/>
          <w:szCs w:val="32"/>
          <w:bdr w:val="none" w:color="auto" w:sz="0" w:space="0"/>
          <w:shd w:val="clear" w:fill="FFFFFF"/>
        </w:rPr>
        <w:t>二、企业须填写年度所得税汇算清缴报送给税务部门的相关经营数据（如果年度汇算清缴结束后更正了申报信息，须填写截至评价申报日的最后一次有效申报数据），并提供最新相应的佐证材料：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13131"/>
          <w:spacing w:val="0"/>
          <w:sz w:val="32"/>
          <w:szCs w:val="32"/>
          <w:bdr w:val="none" w:color="auto" w:sz="0" w:space="0"/>
          <w:shd w:val="clear" w:fill="FFFFFF"/>
        </w:rPr>
        <w:t>1.企业最后一次有效申报数据若是在国家税务总局天津市电子税务局上申报的，应下载相应年度的《A100000 中华人民共和国企业所得税年度纳税申报表（A类）》《A107012研发费用加计扣除优惠明细表》《资产负债表》，文件下载格式为PDF，直接上传到“评价服务系统”，无需打印盖章。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13131"/>
          <w:spacing w:val="0"/>
          <w:sz w:val="32"/>
          <w:szCs w:val="32"/>
          <w:bdr w:val="none" w:color="auto" w:sz="0" w:space="0"/>
          <w:shd w:val="clear" w:fill="FFFFFF"/>
        </w:rPr>
        <w:t>2.企业最后一次有效申报数据若是在线下报税大厅申报的，应打印相应年度的《A100000 中华人民共和国企业所得税年度纳税申报表（A类）》《A107012研发费用加计扣除优惠明细表》《资产负债表》，盖企业公章并扫描为PDF文件，上传到“评价服务系统”。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13131"/>
          <w:spacing w:val="0"/>
          <w:sz w:val="32"/>
          <w:szCs w:val="32"/>
          <w:bdr w:val="none" w:color="auto" w:sz="0" w:space="0"/>
          <w:shd w:val="clear" w:fill="FFFFFF"/>
        </w:rPr>
        <w:t>3.税务部门对企业申报数据有调整的，以税务部门调整后数据为准，企业应提供税务部门盖章的调整后的相应报表，扫描为PDF文件，上传到“评价服务系统”。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13131"/>
          <w:spacing w:val="0"/>
          <w:sz w:val="32"/>
          <w:szCs w:val="32"/>
          <w:bdr w:val="none" w:color="auto" w:sz="0" w:space="0"/>
          <w:shd w:val="clear" w:fill="FFFFFF"/>
        </w:rPr>
        <w:t>三、2022年企业研发费用投入数据，须提供符合上述第二条要求的2022年度《研发费用加计扣除优惠明细表》（税款所属时间为2022年1月1日至2022年12月31日）。其他年度，企业若享受了该年度研究开发费用税前加计扣除政策，须提供符合上述第二条要求的该年度《研发费用加计扣除优惠明细表》；若没有享受研究开发费用税前加计扣除政策，需提供规范、真实的该年度研究开发费用专项审计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13131"/>
          <w:spacing w:val="0"/>
          <w:sz w:val="32"/>
          <w:szCs w:val="32"/>
          <w:bdr w:val="none" w:color="auto" w:sz="0" w:space="0"/>
          <w:shd w:val="clear" w:fill="FFFFFF"/>
        </w:rPr>
        <w:t>四、请各区（功能区）科技行政部门组织做好政策宣讲和评价服务等工作。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13131"/>
          <w:spacing w:val="0"/>
          <w:sz w:val="32"/>
          <w:szCs w:val="32"/>
          <w:bdr w:val="none" w:color="auto" w:sz="0" w:space="0"/>
          <w:shd w:val="clear" w:fill="FFFFFF"/>
        </w:rPr>
        <w:t>五、市科技局自3月开始，每月公示一次评价信息通过审核的企业名单，每月公告一次通过评价的企业名单；3—11月的每月22日为公示日（如果遇到法定节假日，提前至前一个工作日）。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13131"/>
          <w:spacing w:val="0"/>
          <w:sz w:val="32"/>
          <w:szCs w:val="32"/>
          <w:bdr w:val="none" w:color="auto" w:sz="0" w:space="0"/>
          <w:shd w:val="clear" w:fill="FFFFFF"/>
        </w:rPr>
        <w:t>1.申报雏鹰、瞪羚评价的企业，需在每月17日（含）前（如果遇到法定节假日，提前至前一个工作日）提交评价信息，在通过区科技行政部门审查、第三方评价机构审核后，纳入该月的公示名单。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13131"/>
          <w:spacing w:val="0"/>
          <w:sz w:val="32"/>
          <w:szCs w:val="32"/>
          <w:bdr w:val="none" w:color="auto" w:sz="0" w:space="0"/>
          <w:shd w:val="clear" w:fill="FFFFFF"/>
        </w:rPr>
        <w:t>2.申报科技领军（培育）评价的企业，需在每月10日（含）前（如果遇到法定节假日，提前至前一个工作日）提交评价信息，在通过区科技行政部门审查、第三方评价机构审核、市科技局组织的现场调查后，纳入该月的公示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13131"/>
          <w:spacing w:val="0"/>
          <w:sz w:val="32"/>
          <w:szCs w:val="32"/>
          <w:bdr w:val="none" w:color="auto" w:sz="0" w:space="0"/>
          <w:shd w:val="clear" w:fill="FFFFFF"/>
        </w:rPr>
        <w:t>3.没有在前2条要求时间内提交评价信息的，以及其他原因没有纳入该月公示的，顺延至后批次处理。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13131"/>
          <w:spacing w:val="0"/>
          <w:sz w:val="32"/>
          <w:szCs w:val="32"/>
          <w:bdr w:val="none" w:color="auto" w:sz="0" w:space="0"/>
          <w:shd w:val="clear" w:fill="FFFFFF"/>
        </w:rPr>
        <w:t>4.11月30日24时后不再受理企业新的评价申请，12月8日公示本年度最后一批名单，12月19日公告本年度最后一批名单。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13131"/>
          <w:spacing w:val="0"/>
          <w:sz w:val="32"/>
          <w:szCs w:val="32"/>
          <w:bdr w:val="none" w:color="auto" w:sz="0" w:space="0"/>
          <w:shd w:val="clear" w:fill="FFFFFF"/>
        </w:rPr>
        <w:t>六、市科技局将于12月组织对入库企业进行抽查。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13131"/>
          <w:spacing w:val="0"/>
          <w:sz w:val="32"/>
          <w:szCs w:val="32"/>
          <w:bdr w:val="none" w:color="auto" w:sz="0" w:space="0"/>
          <w:shd w:val="clear" w:fill="FFFFFF"/>
        </w:rPr>
        <w:t>七、市科技局受理企业评价申请不收任何费用，不推荐、不指定任何一家中介服务机构为企业开展评价申报及相关服务。企业可以自行开展评价申报工作。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13131"/>
          <w:spacing w:val="0"/>
          <w:sz w:val="32"/>
          <w:szCs w:val="32"/>
          <w:bdr w:val="none" w:color="auto" w:sz="0" w:space="0"/>
          <w:shd w:val="clear" w:fill="FFFFFF"/>
        </w:rPr>
        <w:t>八、评价工作有关政策及培训资料网址如下：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13131"/>
          <w:spacing w:val="0"/>
          <w:sz w:val="32"/>
          <w:szCs w:val="32"/>
          <w:bdr w:val="none" w:color="auto" w:sz="0" w:space="0"/>
          <w:shd w:val="clear" w:fill="FFFFFF"/>
        </w:rPr>
        <w:t>1.《天津市雏鹰企业、瞪羚企业、科技领军企业和科技领军培育企业评价与支持办法》网址：https://kxjs.tj.gov.cn/managecol/ZCWJ0923/kjjzcwj09233/202107/t20210712_5500714.html</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13131"/>
          <w:spacing w:val="0"/>
          <w:sz w:val="32"/>
          <w:szCs w:val="32"/>
          <w:bdr w:val="none" w:color="auto" w:sz="0" w:space="0"/>
          <w:shd w:val="clear" w:fill="FFFFFF"/>
        </w:rPr>
        <w:t>2.《天津市雏鹰企业、瞪羚企业、科技领军企业和科技领军培育企业评价与支持办法》政策解读网址：https://kxjs.tj.gov.cn/ZWGK4143/ZCFG148_1/ZCJD20201127/202107/t20210712_5500732.html</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13131"/>
          <w:spacing w:val="0"/>
          <w:sz w:val="32"/>
          <w:szCs w:val="32"/>
          <w:bdr w:val="none" w:color="auto" w:sz="0" w:space="0"/>
          <w:shd w:val="clear" w:fill="FFFFFF"/>
        </w:rPr>
        <w:t>3.一图读懂《天津市雏鹰企业、瞪羚企业、科技领军企业和科技领军培育企业评价与支持办法》网址：https://kxjs.tj.gov.cn/ZWGK4143/ZCFG148_1/ZCJD20201127/202108/t20210816_5535066.html</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13131"/>
          <w:spacing w:val="0"/>
          <w:sz w:val="32"/>
          <w:szCs w:val="32"/>
          <w:bdr w:val="none" w:color="auto" w:sz="0" w:space="0"/>
          <w:shd w:val="clear" w:fill="FFFFFF"/>
        </w:rPr>
        <w:t>4.《天津市雏鹰企业、瞪羚企业、科技领军企业和科技领军（培育）企业评价培训视频》网址：https://i.tten.cn/zffw/cydllj/ywpx/202205/t20220531_161103.html</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13131"/>
          <w:spacing w:val="0"/>
          <w:sz w:val="32"/>
          <w:szCs w:val="32"/>
          <w:bdr w:val="none" w:color="auto" w:sz="0" w:space="0"/>
          <w:shd w:val="clear" w:fill="FFFFFF"/>
        </w:rPr>
        <w:t>5.《天津市雏鹰企业、瞪羚企业、科技领军企业和科技领军培育企业评价服务系统使用手册》网址：https://i.tten.cn/images/天津市雏鹰瞪羚领军企业评价服务系统使用手册.pdf</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13131"/>
          <w:spacing w:val="0"/>
          <w:sz w:val="32"/>
          <w:szCs w:val="32"/>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13131"/>
          <w:spacing w:val="0"/>
          <w:sz w:val="32"/>
          <w:szCs w:val="32"/>
          <w:bdr w:val="none" w:color="auto" w:sz="0" w:space="0"/>
          <w:shd w:val="clear" w:fill="FFFFFF"/>
        </w:rPr>
      </w:pP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13131"/>
          <w:spacing w:val="0"/>
          <w:sz w:val="32"/>
          <w:szCs w:val="32"/>
          <w:bdr w:val="none" w:color="auto" w:sz="0" w:space="0"/>
          <w:shd w:val="clear" w:fill="FFFFFF"/>
        </w:rPr>
      </w:pPr>
      <w:r>
        <w:rPr>
          <w:rFonts w:hint="eastAsia" w:ascii="仿宋_GB2312" w:hAnsi="仿宋_GB2312" w:eastAsia="仿宋_GB2312" w:cs="仿宋_GB2312"/>
          <w:i w:val="0"/>
          <w:iCs w:val="0"/>
          <w:caps w:val="0"/>
          <w:color w:val="313131"/>
          <w:spacing w:val="0"/>
          <w:sz w:val="32"/>
          <w:szCs w:val="32"/>
          <w:bdr w:val="none" w:color="auto" w:sz="0" w:space="0"/>
          <w:shd w:val="clear" w:fill="FFFFFF"/>
        </w:rPr>
        <w:t>评价工作咨询电话如下：</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313131"/>
          <w:spacing w:val="0"/>
          <w:sz w:val="32"/>
          <w:szCs w:val="32"/>
          <w:bdr w:val="none" w:color="auto" w:sz="0" w:space="0"/>
          <w:shd w:val="clear" w:fill="FFFFFF"/>
        </w:rPr>
      </w:pPr>
      <w:r>
        <w:rPr>
          <w:rFonts w:hint="eastAsia" w:ascii="仿宋_GB2312" w:hAnsi="仿宋_GB2312" w:eastAsia="仿宋_GB2312" w:cs="仿宋_GB2312"/>
          <w:i w:val="0"/>
          <w:iCs w:val="0"/>
          <w:caps w:val="0"/>
          <w:color w:val="313131"/>
          <w:spacing w:val="0"/>
          <w:sz w:val="32"/>
          <w:szCs w:val="32"/>
          <w:shd w:val="clear" w:fill="FFFFFF"/>
        </w:rPr>
        <w:drawing>
          <wp:anchor distT="0" distB="0" distL="114300" distR="114300" simplePos="0" relativeHeight="251659264" behindDoc="0" locked="0" layoutInCell="1" allowOverlap="1">
            <wp:simplePos x="0" y="0"/>
            <wp:positionH relativeFrom="column">
              <wp:posOffset>183515</wp:posOffset>
            </wp:positionH>
            <wp:positionV relativeFrom="page">
              <wp:posOffset>1721485</wp:posOffset>
            </wp:positionV>
            <wp:extent cx="5254625" cy="6559550"/>
            <wp:effectExtent l="0" t="0" r="3175" b="12700"/>
            <wp:wrapTopAndBottom/>
            <wp:docPr id="1" name="图片 1" descr="202301311428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30131142825.png"/>
                    <pic:cNvPicPr>
                      <a:picLocks noChangeAspect="1"/>
                    </pic:cNvPicPr>
                  </pic:nvPicPr>
                  <pic:blipFill>
                    <a:blip r:embed="rId5"/>
                    <a:stretch>
                      <a:fillRect/>
                    </a:stretch>
                  </pic:blipFill>
                  <pic:spPr>
                    <a:xfrm>
                      <a:off x="0" y="0"/>
                      <a:ext cx="5254625" cy="6559550"/>
                    </a:xfrm>
                    <a:prstGeom prst="rect">
                      <a:avLst/>
                    </a:prstGeom>
                    <a:noFill/>
                    <a:ln w="9525">
                      <a:noFill/>
                    </a:ln>
                  </pic:spPr>
                </pic:pic>
              </a:graphicData>
            </a:graphic>
          </wp:anchor>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13131"/>
          <w:spacing w:val="0"/>
          <w:sz w:val="32"/>
          <w:szCs w:val="32"/>
          <w:bdr w:val="none" w:color="auto" w:sz="0" w:space="0"/>
          <w:shd w:val="clear" w:fill="FFFFFF"/>
        </w:rPr>
        <w:t>天津市科学技术局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13131"/>
          <w:spacing w:val="0"/>
          <w:sz w:val="32"/>
          <w:szCs w:val="32"/>
          <w:bdr w:val="none" w:color="auto" w:sz="0" w:space="0"/>
          <w:shd w:val="clear" w:fill="FFFFFF"/>
        </w:rPr>
        <w:t>2023年1月31日</w:t>
      </w:r>
      <w:bookmarkStart w:id="0" w:name="_GoBack"/>
      <w:bookmarkEnd w:id="0"/>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37E946"/>
    <w:multiLevelType w:val="singleLevel"/>
    <w:tmpl w:val="0837E946"/>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2N2UzMTkyY2FhMTJmYmU4MDA1NDE0YzkwNDhhMTcifQ=="/>
  </w:docVars>
  <w:rsids>
    <w:rsidRoot w:val="00000000"/>
    <w:rsid w:val="28FA7984"/>
    <w:rsid w:val="5A1D2D13"/>
    <w:rsid w:val="67D63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1659</Words>
  <Characters>2106</Characters>
  <Lines>0</Lines>
  <Paragraphs>0</Paragraphs>
  <TotalTime>2</TotalTime>
  <ScaleCrop>false</ScaleCrop>
  <LinksUpToDate>false</LinksUpToDate>
  <CharactersWithSpaces>2110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2023-03-03T08:18:00Z</dcterms:created>
  <dc:creator>cuigu</dc:creator>
  <cp:lastModifiedBy>WPS_290974353</cp:lastModifiedBy>
  <dcterms:modified xsi:type="dcterms:W3CDTF">2023-03-03T08:23:58Z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09BFFBE992594CB8A95AFE2BE1CFFA66</vt:lpwstr>
  </property>
</Properties>
</file>