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B8" w:rsidRDefault="009B3EB8">
      <w:pPr>
        <w:rPr>
          <w:rFonts w:ascii="仿宋_GB2312" w:eastAsia="仿宋_GB2312"/>
          <w:sz w:val="32"/>
          <w:szCs w:val="32"/>
        </w:rPr>
      </w:pPr>
    </w:p>
    <w:p w:rsidR="009B3EB8" w:rsidRDefault="009B3EB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天津市滨海新区实施科技计划项目相关责任</w:t>
      </w:r>
    </w:p>
    <w:p w:rsidR="009B3EB8" w:rsidRDefault="009B3EB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主体失信行为管理明白纸</w:t>
      </w:r>
    </w:p>
    <w:p w:rsidR="009B3EB8" w:rsidRDefault="009B3EB8" w:rsidP="005F613A">
      <w:pPr>
        <w:spacing w:afterLines="100" w:line="6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（滨海新区科技局</w:t>
      </w:r>
      <w:r>
        <w:rPr>
          <w:rFonts w:ascii="方正小标宋简体" w:eastAsia="方正小标宋简体" w:hAnsi="方正小标宋简体" w:cs="方正小标宋简体"/>
          <w:sz w:val="32"/>
          <w:szCs w:val="32"/>
        </w:rPr>
        <w:t>2020</w:t>
      </w:r>
      <w:r>
        <w:rPr>
          <w:rFonts w:ascii="方正小标宋简体" w:eastAsia="方正小标宋简体" w:hAnsi="方正小标宋简体" w:cs="方正小标宋简体" w:hint="eastAsia"/>
          <w:sz w:val="32"/>
          <w:szCs w:val="32"/>
        </w:rPr>
        <w:t>年</w:t>
      </w:r>
      <w:r>
        <w:rPr>
          <w:rFonts w:ascii="方正小标宋简体" w:eastAsia="方正小标宋简体" w:hAnsi="方正小标宋简体" w:cs="方正小标宋简体"/>
          <w:sz w:val="32"/>
          <w:szCs w:val="32"/>
        </w:rPr>
        <w:t>5</w:t>
      </w:r>
      <w:r>
        <w:rPr>
          <w:rFonts w:ascii="方正小标宋简体" w:eastAsia="方正小标宋简体" w:hAnsi="方正小标宋简体" w:cs="方正小标宋简体" w:hint="eastAsia"/>
          <w:sz w:val="32"/>
          <w:szCs w:val="32"/>
        </w:rPr>
        <w:t>月汇编）</w:t>
      </w:r>
      <w:bookmarkStart w:id="0" w:name="_GoBack"/>
      <w:bookmarkEnd w:id="0"/>
    </w:p>
    <w:p w:rsidR="009B3EB8" w:rsidRDefault="009B3EB8">
      <w:pPr>
        <w:spacing w:line="600" w:lineRule="exact"/>
        <w:ind w:firstLineChars="200" w:firstLine="640"/>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一、适用范围</w:t>
      </w:r>
    </w:p>
    <w:p w:rsidR="009B3EB8" w:rsidRDefault="009B3EB8">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天津市滨海新区科学技术局（以下简称“区科技局”）归口管理的各类科技计划项目，包括项目指南编制与咨询、申报与受理、评审与立项、执行与验收、监督与评估等管理与实施全过程。</w:t>
      </w:r>
    </w:p>
    <w:p w:rsidR="009B3EB8" w:rsidRDefault="009B3EB8">
      <w:pPr>
        <w:spacing w:line="600" w:lineRule="exact"/>
        <w:ind w:firstLineChars="200" w:firstLine="640"/>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二、失信行为认定相关责任主体</w:t>
      </w:r>
    </w:p>
    <w:p w:rsidR="009B3EB8" w:rsidRDefault="009B3EB8">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承担滨海新区区级科技计划项目的项目负责人、项目承担单位、项目评审专家、项目管理服务机构和中介服务机构等相关责任主体。</w:t>
      </w:r>
    </w:p>
    <w:p w:rsidR="009B3EB8" w:rsidRDefault="009B3EB8">
      <w:pPr>
        <w:spacing w:line="600" w:lineRule="exact"/>
        <w:ind w:firstLineChars="200" w:firstLine="640"/>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三、失信行为认定</w:t>
      </w:r>
    </w:p>
    <w:p w:rsidR="009B3EB8" w:rsidRDefault="009B3EB8">
      <w:pPr>
        <w:spacing w:line="600" w:lineRule="exact"/>
        <w:ind w:firstLineChars="196" w:firstLine="627"/>
        <w:rPr>
          <w:rFonts w:eastAsia="仿宋_GB2312"/>
          <w:sz w:val="32"/>
          <w:szCs w:val="32"/>
        </w:rPr>
      </w:pPr>
      <w:r>
        <w:rPr>
          <w:rFonts w:eastAsia="仿宋_GB2312" w:cs="仿宋_GB2312" w:hint="eastAsia"/>
          <w:sz w:val="32"/>
          <w:szCs w:val="32"/>
        </w:rPr>
        <w:t>滨海新区科技项目相关责任主体失信行为设定为一般失信行为和严重失信行为。一般失信行为是指相关责任主体管理不力、监管不严、不尽责等违反相关管理规定或约定的行为。严重失信行为是指相关责任主体科研不端、违规、违纪和违法造成严重后果或恶劣影响的行为。或其他违法、违反财经纪律、违反项目任务合同书（协议等）约定和科研不端行为等情况。</w:t>
      </w:r>
    </w:p>
    <w:p w:rsidR="009B3EB8" w:rsidRDefault="009B3EB8">
      <w:pPr>
        <w:spacing w:line="600" w:lineRule="exact"/>
        <w:ind w:firstLineChars="200" w:firstLine="640"/>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四、失信行为惩戒措施</w:t>
      </w:r>
    </w:p>
    <w:p w:rsidR="009B3EB8" w:rsidRDefault="009B3EB8">
      <w:pPr>
        <w:spacing w:line="600" w:lineRule="exact"/>
        <w:ind w:firstLineChars="196" w:firstLine="627"/>
        <w:rPr>
          <w:rFonts w:eastAsia="仿宋_GB2312"/>
          <w:sz w:val="32"/>
          <w:szCs w:val="32"/>
        </w:rPr>
      </w:pPr>
      <w:r>
        <w:rPr>
          <w:rFonts w:eastAsia="仿宋_GB2312" w:cs="仿宋_GB2312" w:hint="eastAsia"/>
          <w:sz w:val="32"/>
          <w:szCs w:val="32"/>
        </w:rPr>
        <w:t>（一）科技项目相关自然人：</w:t>
      </w:r>
      <w:r>
        <w:rPr>
          <w:rFonts w:eastAsia="仿宋_GB2312"/>
          <w:sz w:val="32"/>
          <w:szCs w:val="32"/>
        </w:rPr>
        <w:t xml:space="preserve"> </w:t>
      </w:r>
    </w:p>
    <w:p w:rsidR="009B3EB8" w:rsidRDefault="009B3EB8">
      <w:pPr>
        <w:spacing w:line="600" w:lineRule="exact"/>
        <w:ind w:firstLineChars="196" w:firstLine="627"/>
        <w:rPr>
          <w:rFonts w:eastAsia="仿宋_GB2312"/>
          <w:sz w:val="32"/>
          <w:szCs w:val="32"/>
        </w:rPr>
      </w:pPr>
      <w:r>
        <w:rPr>
          <w:rFonts w:eastAsia="仿宋_GB2312"/>
          <w:sz w:val="32"/>
          <w:szCs w:val="32"/>
        </w:rPr>
        <w:t xml:space="preserve"> 1</w:t>
      </w:r>
      <w:r>
        <w:rPr>
          <w:rFonts w:eastAsia="仿宋_GB2312" w:cs="仿宋_GB2312" w:hint="eastAsia"/>
          <w:sz w:val="32"/>
          <w:szCs w:val="32"/>
        </w:rPr>
        <w:t>、申报人员、承担人员：</w:t>
      </w:r>
    </w:p>
    <w:p w:rsidR="009B3EB8" w:rsidRDefault="009B3EB8" w:rsidP="005F613A">
      <w:pPr>
        <w:spacing w:line="600" w:lineRule="exact"/>
        <w:ind w:firstLineChars="164" w:firstLine="525"/>
        <w:rPr>
          <w:rFonts w:eastAsia="仿宋_GB2312" w:cs="仿宋_GB2312"/>
          <w:sz w:val="32"/>
          <w:szCs w:val="32"/>
        </w:rPr>
      </w:pPr>
      <w:r>
        <w:rPr>
          <w:rFonts w:eastAsia="仿宋_GB2312"/>
          <w:sz w:val="32"/>
          <w:szCs w:val="32"/>
        </w:rPr>
        <w:t xml:space="preserve"> </w:t>
      </w:r>
      <w:r>
        <w:rPr>
          <w:rFonts w:eastAsia="仿宋_GB2312" w:cs="仿宋_GB2312" w:hint="eastAsia"/>
          <w:sz w:val="32"/>
          <w:szCs w:val="32"/>
        </w:rPr>
        <w:t>首次列入一般失信行为记录的，</w:t>
      </w:r>
      <w:r>
        <w:rPr>
          <w:rFonts w:eastAsia="仿宋_GB2312"/>
          <w:sz w:val="32"/>
          <w:szCs w:val="32"/>
        </w:rPr>
        <w:t>2</w:t>
      </w:r>
      <w:r>
        <w:rPr>
          <w:rFonts w:eastAsia="仿宋_GB2312" w:cs="仿宋_GB2312" w:hint="eastAsia"/>
          <w:sz w:val="32"/>
          <w:szCs w:val="32"/>
        </w:rPr>
        <w:t>年内不再受理其作为负责人申报的项目；</w:t>
      </w:r>
      <w:r>
        <w:rPr>
          <w:rFonts w:eastAsia="仿宋_GB2312"/>
          <w:sz w:val="32"/>
          <w:szCs w:val="32"/>
        </w:rPr>
        <w:t>10</w:t>
      </w:r>
      <w:r>
        <w:rPr>
          <w:rFonts w:eastAsia="仿宋_GB2312" w:cs="仿宋_GB2312" w:hint="eastAsia"/>
          <w:sz w:val="32"/>
          <w:szCs w:val="32"/>
        </w:rPr>
        <w:t>年内再次列入一般失信行为记录的，视情节轻重</w:t>
      </w:r>
      <w:r>
        <w:rPr>
          <w:rFonts w:eastAsia="仿宋_GB2312"/>
          <w:sz w:val="32"/>
          <w:szCs w:val="32"/>
        </w:rPr>
        <w:t>3-7</w:t>
      </w:r>
      <w:r>
        <w:rPr>
          <w:rFonts w:eastAsia="仿宋_GB2312" w:cs="仿宋_GB2312" w:hint="eastAsia"/>
          <w:sz w:val="32"/>
          <w:szCs w:val="32"/>
        </w:rPr>
        <w:t>年内不再受理其作为负责人申报的项目。首次列入严重失信行为记录的，</w:t>
      </w:r>
      <w:r>
        <w:rPr>
          <w:rFonts w:eastAsia="仿宋_GB2312"/>
          <w:sz w:val="32"/>
          <w:szCs w:val="32"/>
        </w:rPr>
        <w:t>7</w:t>
      </w:r>
      <w:r>
        <w:rPr>
          <w:rFonts w:eastAsia="仿宋_GB2312" w:cs="仿宋_GB2312" w:hint="eastAsia"/>
          <w:sz w:val="32"/>
          <w:szCs w:val="32"/>
        </w:rPr>
        <w:t>年内不再受理其作为负责人申报的项目，同时阶段性或永久不再邀请作为专家参与咨询活动；列入严重失信行为记录的项目负责人，终止其所承担的相关项目。项目逾期超过</w:t>
      </w:r>
      <w:r>
        <w:rPr>
          <w:rFonts w:eastAsia="仿宋_GB2312"/>
          <w:sz w:val="32"/>
          <w:szCs w:val="32"/>
        </w:rPr>
        <w:t>1</w:t>
      </w:r>
      <w:r>
        <w:rPr>
          <w:rFonts w:eastAsia="仿宋_GB2312" w:cs="仿宋_GB2312" w:hint="eastAsia"/>
          <w:sz w:val="32"/>
          <w:szCs w:val="32"/>
        </w:rPr>
        <w:t>年未提请验收，项目负责人在收到《项目违约告知书》后，</w:t>
      </w:r>
      <w:r>
        <w:rPr>
          <w:rFonts w:eastAsia="仿宋_GB2312"/>
          <w:sz w:val="32"/>
          <w:szCs w:val="32"/>
        </w:rPr>
        <w:t>60</w:t>
      </w:r>
      <w:r>
        <w:rPr>
          <w:rFonts w:eastAsia="仿宋_GB2312" w:cs="仿宋_GB2312" w:hint="eastAsia"/>
          <w:sz w:val="32"/>
          <w:szCs w:val="32"/>
        </w:rPr>
        <w:t>个工作日仍未提请验收的，永久不再受理其作为负责人申报的项目。</w:t>
      </w:r>
    </w:p>
    <w:p w:rsidR="009B3EB8" w:rsidRDefault="009B3EB8" w:rsidP="005F613A">
      <w:pPr>
        <w:spacing w:line="600" w:lineRule="exact"/>
        <w:ind w:firstLineChars="164" w:firstLine="525"/>
        <w:rPr>
          <w:rFonts w:eastAsia="仿宋_GB2312"/>
          <w:sz w:val="32"/>
          <w:szCs w:val="32"/>
        </w:rPr>
      </w:pPr>
      <w:r>
        <w:rPr>
          <w:rFonts w:eastAsia="仿宋_GB2312" w:cs="仿宋_GB2312"/>
          <w:sz w:val="32"/>
          <w:szCs w:val="32"/>
        </w:rPr>
        <w:t xml:space="preserve"> </w:t>
      </w:r>
      <w:r>
        <w:rPr>
          <w:rFonts w:eastAsia="仿宋_GB2312"/>
          <w:sz w:val="32"/>
          <w:szCs w:val="32"/>
        </w:rPr>
        <w:t>2</w:t>
      </w:r>
      <w:r>
        <w:rPr>
          <w:rFonts w:eastAsia="仿宋_GB2312" w:cs="仿宋_GB2312" w:hint="eastAsia"/>
          <w:sz w:val="32"/>
          <w:szCs w:val="32"/>
        </w:rPr>
        <w:t>、评审评估咨询专家：</w:t>
      </w:r>
    </w:p>
    <w:p w:rsidR="009B3EB8" w:rsidRDefault="009B3EB8">
      <w:pPr>
        <w:spacing w:line="600" w:lineRule="exact"/>
        <w:ind w:firstLineChars="196" w:firstLine="627"/>
        <w:rPr>
          <w:rFonts w:eastAsia="仿宋_GB2312"/>
          <w:sz w:val="32"/>
          <w:szCs w:val="32"/>
        </w:rPr>
      </w:pPr>
      <w:r>
        <w:rPr>
          <w:rFonts w:eastAsia="仿宋_GB2312" w:cs="仿宋_GB2312" w:hint="eastAsia"/>
          <w:sz w:val="32"/>
          <w:szCs w:val="32"/>
        </w:rPr>
        <w:t>首次列入一般失信行为记录的，</w:t>
      </w:r>
      <w:r>
        <w:rPr>
          <w:rFonts w:eastAsia="仿宋_GB2312"/>
          <w:sz w:val="32"/>
          <w:szCs w:val="32"/>
        </w:rPr>
        <w:t>3</w:t>
      </w:r>
      <w:r>
        <w:rPr>
          <w:rFonts w:eastAsia="仿宋_GB2312" w:cs="仿宋_GB2312" w:hint="eastAsia"/>
          <w:sz w:val="32"/>
          <w:szCs w:val="32"/>
        </w:rPr>
        <w:t>年内不再作为评审咨询专家；</w:t>
      </w:r>
      <w:r>
        <w:rPr>
          <w:rFonts w:eastAsia="仿宋_GB2312"/>
          <w:sz w:val="32"/>
          <w:szCs w:val="32"/>
        </w:rPr>
        <w:t>10</w:t>
      </w:r>
      <w:r>
        <w:rPr>
          <w:rFonts w:eastAsia="仿宋_GB2312" w:cs="仿宋_GB2312" w:hint="eastAsia"/>
          <w:sz w:val="32"/>
          <w:szCs w:val="32"/>
        </w:rPr>
        <w:t>年内再次列入一般失信行为记录的，视情况阶段性或永久不再邀请作为专家参与咨询活动。</w:t>
      </w:r>
    </w:p>
    <w:p w:rsidR="009B3EB8" w:rsidRDefault="009B3EB8">
      <w:pPr>
        <w:spacing w:line="600" w:lineRule="exact"/>
        <w:ind w:firstLineChars="196" w:firstLine="627"/>
        <w:rPr>
          <w:rFonts w:eastAsia="仿宋_GB2312"/>
          <w:sz w:val="32"/>
          <w:szCs w:val="32"/>
        </w:rPr>
      </w:pPr>
      <w:r>
        <w:rPr>
          <w:rFonts w:eastAsia="仿宋_GB2312" w:cs="仿宋_GB2312" w:hint="eastAsia"/>
          <w:sz w:val="32"/>
          <w:szCs w:val="32"/>
        </w:rPr>
        <w:t>首次列入严重失信行为记录的，永久不再邀请其作为专家参与评审评估咨询活动，同时</w:t>
      </w:r>
      <w:r>
        <w:rPr>
          <w:rFonts w:eastAsia="仿宋_GB2312"/>
          <w:sz w:val="32"/>
          <w:szCs w:val="32"/>
        </w:rPr>
        <w:t>7</w:t>
      </w:r>
      <w:r>
        <w:rPr>
          <w:rFonts w:eastAsia="仿宋_GB2312" w:cs="仿宋_GB2312" w:hint="eastAsia"/>
          <w:sz w:val="32"/>
          <w:szCs w:val="32"/>
        </w:rPr>
        <w:t>年内不再受理其作为负责人申报的项目。</w:t>
      </w:r>
    </w:p>
    <w:p w:rsidR="009B3EB8" w:rsidRDefault="009B3EB8">
      <w:pPr>
        <w:spacing w:line="600" w:lineRule="exact"/>
        <w:ind w:firstLineChars="196" w:firstLine="627"/>
        <w:rPr>
          <w:rFonts w:eastAsia="仿宋_GB2312"/>
          <w:sz w:val="32"/>
          <w:szCs w:val="32"/>
        </w:rPr>
      </w:pPr>
      <w:r>
        <w:rPr>
          <w:rFonts w:eastAsia="仿宋_GB2312" w:cs="仿宋_GB2312" w:hint="eastAsia"/>
          <w:sz w:val="32"/>
          <w:szCs w:val="32"/>
        </w:rPr>
        <w:t>（二）科技项目相关单位：</w:t>
      </w:r>
    </w:p>
    <w:p w:rsidR="009B3EB8" w:rsidRDefault="009B3EB8">
      <w:pPr>
        <w:spacing w:line="600" w:lineRule="exact"/>
        <w:ind w:firstLineChars="196" w:firstLine="627"/>
        <w:rPr>
          <w:rFonts w:eastAsia="仿宋_GB2312"/>
          <w:sz w:val="32"/>
          <w:szCs w:val="32"/>
        </w:rPr>
      </w:pPr>
      <w:r>
        <w:rPr>
          <w:rFonts w:eastAsia="仿宋_GB2312"/>
          <w:sz w:val="32"/>
          <w:szCs w:val="32"/>
        </w:rPr>
        <w:t xml:space="preserve"> 1</w:t>
      </w:r>
      <w:r>
        <w:rPr>
          <w:rFonts w:eastAsia="仿宋_GB2312" w:cs="仿宋_GB2312" w:hint="eastAsia"/>
          <w:sz w:val="32"/>
          <w:szCs w:val="32"/>
        </w:rPr>
        <w:t>、申报单位和承担单位：</w:t>
      </w:r>
    </w:p>
    <w:p w:rsidR="009B3EB8" w:rsidRDefault="009B3EB8">
      <w:pPr>
        <w:spacing w:line="600" w:lineRule="exact"/>
        <w:ind w:firstLineChars="196" w:firstLine="627"/>
        <w:rPr>
          <w:rFonts w:eastAsia="仿宋_GB2312"/>
          <w:color w:val="FF0000"/>
          <w:sz w:val="32"/>
          <w:szCs w:val="32"/>
        </w:rPr>
      </w:pPr>
      <w:r>
        <w:rPr>
          <w:rFonts w:eastAsia="仿宋_GB2312"/>
          <w:sz w:val="32"/>
          <w:szCs w:val="32"/>
        </w:rPr>
        <w:t xml:space="preserve"> </w:t>
      </w:r>
      <w:r>
        <w:rPr>
          <w:rFonts w:eastAsia="仿宋_GB2312" w:cs="仿宋_GB2312" w:hint="eastAsia"/>
          <w:sz w:val="32"/>
          <w:szCs w:val="32"/>
        </w:rPr>
        <w:t>一般失信行为记录次数超过承担单位项目总数</w:t>
      </w:r>
      <w:r>
        <w:rPr>
          <w:rFonts w:eastAsia="仿宋_GB2312"/>
          <w:sz w:val="32"/>
          <w:szCs w:val="32"/>
        </w:rPr>
        <w:t>50%</w:t>
      </w:r>
      <w:r>
        <w:rPr>
          <w:rFonts w:eastAsia="仿宋_GB2312" w:cs="仿宋_GB2312" w:hint="eastAsia"/>
          <w:sz w:val="32"/>
          <w:szCs w:val="32"/>
        </w:rPr>
        <w:t>的，</w:t>
      </w:r>
      <w:r>
        <w:rPr>
          <w:rFonts w:eastAsia="仿宋_GB2312"/>
          <w:sz w:val="32"/>
          <w:szCs w:val="32"/>
        </w:rPr>
        <w:t>2</w:t>
      </w:r>
      <w:r>
        <w:rPr>
          <w:rFonts w:eastAsia="仿宋_GB2312" w:cs="仿宋_GB2312" w:hint="eastAsia"/>
          <w:sz w:val="32"/>
          <w:szCs w:val="32"/>
        </w:rPr>
        <w:t>年内不再受理其作为第一承担单位申报的项目；列入严重失信行为记录的，视情节轻重</w:t>
      </w:r>
      <w:r>
        <w:rPr>
          <w:rFonts w:eastAsia="仿宋_GB2312"/>
          <w:sz w:val="32"/>
          <w:szCs w:val="32"/>
        </w:rPr>
        <w:t>2-5</w:t>
      </w:r>
      <w:r>
        <w:rPr>
          <w:rFonts w:eastAsia="仿宋_GB2312" w:cs="仿宋_GB2312" w:hint="eastAsia"/>
          <w:sz w:val="32"/>
          <w:szCs w:val="32"/>
        </w:rPr>
        <w:t>年内不再受理其作为第一承担单位申报的项目。且</w:t>
      </w:r>
      <w:r>
        <w:rPr>
          <w:rFonts w:eastAsia="仿宋_GB2312" w:cs="仿宋_GB2312"/>
          <w:sz w:val="32"/>
          <w:szCs w:val="32"/>
        </w:rPr>
        <w:t>2-5</w:t>
      </w:r>
      <w:r>
        <w:rPr>
          <w:rFonts w:eastAsia="仿宋_GB2312" w:cs="仿宋_GB2312" w:hint="eastAsia"/>
          <w:sz w:val="32"/>
          <w:szCs w:val="32"/>
        </w:rPr>
        <w:t>年内同一法人代表的企业申报的项目也不予受理。对涉及资金数额较大、拒不配合整改的承担单位经局党组会研究可加重处罚。</w:t>
      </w:r>
    </w:p>
    <w:p w:rsidR="009B3EB8" w:rsidRDefault="009B3EB8">
      <w:pPr>
        <w:spacing w:line="600" w:lineRule="exact"/>
        <w:ind w:firstLineChars="245" w:firstLine="784"/>
        <w:rPr>
          <w:rFonts w:eastAsia="仿宋_GB2312"/>
          <w:sz w:val="32"/>
          <w:szCs w:val="32"/>
        </w:rPr>
      </w:pPr>
      <w:r>
        <w:rPr>
          <w:rFonts w:eastAsia="仿宋_GB2312"/>
          <w:sz w:val="32"/>
          <w:szCs w:val="32"/>
        </w:rPr>
        <w:t>2</w:t>
      </w:r>
      <w:r>
        <w:rPr>
          <w:rFonts w:eastAsia="仿宋_GB2312" w:cs="仿宋_GB2312" w:hint="eastAsia"/>
          <w:sz w:val="32"/>
          <w:szCs w:val="32"/>
        </w:rPr>
        <w:t>、管理服务和中介服务机构</w:t>
      </w:r>
    </w:p>
    <w:p w:rsidR="009B3EB8" w:rsidRDefault="009B3EB8">
      <w:pPr>
        <w:spacing w:line="600" w:lineRule="exact"/>
        <w:ind w:firstLineChars="196" w:firstLine="627"/>
        <w:rPr>
          <w:rFonts w:eastAsia="仿宋_GB2312" w:cs="仿宋_GB2312"/>
          <w:sz w:val="32"/>
          <w:szCs w:val="32"/>
        </w:rPr>
      </w:pPr>
      <w:r>
        <w:rPr>
          <w:rFonts w:eastAsia="仿宋_GB2312"/>
          <w:sz w:val="32"/>
          <w:szCs w:val="32"/>
        </w:rPr>
        <w:t xml:space="preserve"> </w:t>
      </w:r>
      <w:r>
        <w:rPr>
          <w:rFonts w:eastAsia="仿宋_GB2312" w:cs="仿宋_GB2312" w:hint="eastAsia"/>
          <w:sz w:val="32"/>
          <w:szCs w:val="32"/>
        </w:rPr>
        <w:t>列入一般失信行为记录的，对其提出整改意见和整改期限并监督其整改；列入严重失信行为记录的，视情况</w:t>
      </w:r>
      <w:r>
        <w:rPr>
          <w:rFonts w:eastAsia="仿宋_GB2312"/>
          <w:sz w:val="32"/>
          <w:szCs w:val="32"/>
        </w:rPr>
        <w:t>1-3</w:t>
      </w:r>
      <w:r>
        <w:rPr>
          <w:rFonts w:eastAsia="仿宋_GB2312" w:cs="仿宋_GB2312" w:hint="eastAsia"/>
          <w:sz w:val="32"/>
          <w:szCs w:val="32"/>
        </w:rPr>
        <w:t>年内不再购买其相关服务。</w:t>
      </w:r>
    </w:p>
    <w:p w:rsidR="009B3EB8" w:rsidRDefault="009B3EB8">
      <w:pPr>
        <w:numPr>
          <w:ilvl w:val="0"/>
          <w:numId w:val="1"/>
        </w:numPr>
        <w:spacing w:line="600" w:lineRule="exact"/>
        <w:ind w:firstLineChars="200" w:firstLine="640"/>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失信管理工作机制</w:t>
      </w:r>
    </w:p>
    <w:p w:rsidR="009B3EB8" w:rsidRDefault="009B3EB8">
      <w:pPr>
        <w:adjustRightInd w:val="0"/>
        <w:snapToGrid w:val="0"/>
        <w:spacing w:line="560" w:lineRule="exact"/>
        <w:ind w:firstLineChars="200" w:firstLine="640"/>
        <w:rPr>
          <w:rFonts w:eastAsia="仿宋_GB2312" w:cs="仿宋_GB2312"/>
          <w:sz w:val="32"/>
          <w:szCs w:val="32"/>
        </w:rPr>
      </w:pPr>
      <w:r>
        <w:rPr>
          <w:rFonts w:ascii="Times New Roman" w:eastAsia="仿宋_GB2312" w:hAnsi="Times New Roman" w:hint="eastAsia"/>
          <w:sz w:val="32"/>
          <w:szCs w:val="32"/>
        </w:rPr>
        <w:t>区科技局定期对区级科技计划项目立项、实施和验收过程中的诚信情况进行审核，对失信行为展开调查，并将结果向责任主体通报。建立滨海新区科技计划项目失信行为记录，作为实施科技计划项目相关责任主体失信行为限制措施的依据。</w:t>
      </w:r>
    </w:p>
    <w:p w:rsidR="009B3EB8" w:rsidRDefault="009B3EB8">
      <w:pPr>
        <w:spacing w:line="600" w:lineRule="exact"/>
        <w:ind w:firstLineChars="200" w:firstLine="640"/>
        <w:rPr>
          <w:rFonts w:eastAsia="仿宋_GB2312" w:cs="仿宋_GB2312"/>
          <w:sz w:val="32"/>
          <w:szCs w:val="32"/>
        </w:rPr>
      </w:pPr>
      <w:r>
        <w:rPr>
          <w:rFonts w:ascii="黑体" w:eastAsia="黑体" w:hAnsi="黑体" w:cs="仿宋_GB2312" w:hint="eastAsia"/>
          <w:color w:val="333333"/>
          <w:sz w:val="32"/>
          <w:szCs w:val="32"/>
          <w:shd w:val="clear" w:color="auto" w:fill="FFFFFF"/>
        </w:rPr>
        <w:t>六、失信行为解除措施</w:t>
      </w:r>
    </w:p>
    <w:p w:rsidR="009B3EB8" w:rsidRDefault="009B3EB8">
      <w:pPr>
        <w:adjustRightInd w:val="0"/>
        <w:snapToGrid w:val="0"/>
        <w:spacing w:line="560" w:lineRule="exact"/>
        <w:ind w:firstLineChars="200" w:firstLine="640"/>
        <w:rPr>
          <w:rFonts w:ascii="Times New Roman" w:eastAsia="仿宋_GB2312" w:hAnsi="Times New Roman"/>
          <w:sz w:val="32"/>
          <w:szCs w:val="32"/>
        </w:rPr>
      </w:pPr>
      <w:r>
        <w:rPr>
          <w:rFonts w:eastAsia="仿宋_GB2312" w:cs="仿宋_GB2312" w:hint="eastAsia"/>
          <w:sz w:val="32"/>
          <w:szCs w:val="32"/>
        </w:rPr>
        <w:t>列入失信行为记录后，采取积极整改措施补救或消除失信行为的责任主体，区科技局可依据其行为后果，给予撤销或减轻其失信行为限制措施。</w:t>
      </w:r>
      <w:r>
        <w:rPr>
          <w:rFonts w:ascii="Times New Roman" w:eastAsia="仿宋_GB2312" w:hAnsi="Times New Roman" w:hint="eastAsia"/>
          <w:sz w:val="32"/>
          <w:szCs w:val="32"/>
        </w:rPr>
        <w:t>失信行为记录实行动态更新。</w:t>
      </w:r>
    </w:p>
    <w:p w:rsidR="009B3EB8" w:rsidRDefault="009B3EB8">
      <w:pPr>
        <w:spacing w:line="600" w:lineRule="exact"/>
        <w:ind w:firstLineChars="200" w:firstLine="640"/>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七、失信行为申诉</w:t>
      </w:r>
    </w:p>
    <w:p w:rsidR="009B3EB8" w:rsidRDefault="009B3EB8">
      <w:pPr>
        <w:adjustRightInd w:val="0"/>
        <w:snapToGrid w:val="0"/>
        <w:spacing w:line="540" w:lineRule="exact"/>
        <w:ind w:firstLineChars="200" w:firstLine="640"/>
        <w:rPr>
          <w:rFonts w:ascii="仿宋_GB2312" w:eastAsia="仿宋_GB2312"/>
        </w:rPr>
      </w:pPr>
      <w:r>
        <w:rPr>
          <w:rFonts w:ascii="Times New Roman" w:eastAsia="仿宋_GB2312" w:hAnsi="Times New Roman" w:hint="eastAsia"/>
          <w:sz w:val="32"/>
          <w:szCs w:val="32"/>
        </w:rPr>
        <w:t>相关责任主体对失信行为投诉举报以及惩戒措施有异议，可向区科技局提出书面申诉，科技局委托专业机构对失信行为进行调查。</w:t>
      </w:r>
    </w:p>
    <w:sectPr w:rsidR="009B3EB8" w:rsidSect="00D2037C">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B8" w:rsidRDefault="009B3EB8" w:rsidP="00D2037C">
      <w:r>
        <w:separator/>
      </w:r>
    </w:p>
  </w:endnote>
  <w:endnote w:type="continuationSeparator" w:id="0">
    <w:p w:rsidR="009B3EB8" w:rsidRDefault="009B3EB8" w:rsidP="00D20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B8" w:rsidRDefault="009B3EB8">
    <w:pPr>
      <w:pStyle w:val="Footer"/>
    </w:pPr>
    <w:r>
      <w:rPr>
        <w:rFonts w:ascii="宋体" w:hAnsi="宋体"/>
        <w:sz w:val="28"/>
        <w:szCs w:val="28"/>
      </w:rPr>
      <w:t xml:space="preserve">— </w:t>
    </w:r>
    <w:r>
      <w:rPr>
        <w:rStyle w:val="PageNumber"/>
        <w:rFonts w:eastAsia="仿宋_GB2312"/>
        <w:sz w:val="28"/>
        <w:szCs w:val="28"/>
      </w:rPr>
      <w:fldChar w:fldCharType="begin"/>
    </w:r>
    <w:r>
      <w:rPr>
        <w:rStyle w:val="PageNumber"/>
        <w:rFonts w:eastAsia="仿宋_GB2312"/>
        <w:sz w:val="28"/>
        <w:szCs w:val="28"/>
      </w:rPr>
      <w:instrText xml:space="preserve">PAGE  </w:instrText>
    </w:r>
    <w:r>
      <w:rPr>
        <w:rStyle w:val="PageNumber"/>
        <w:rFonts w:eastAsia="仿宋_GB2312"/>
        <w:sz w:val="28"/>
        <w:szCs w:val="28"/>
      </w:rPr>
      <w:fldChar w:fldCharType="separate"/>
    </w:r>
    <w:r>
      <w:rPr>
        <w:rStyle w:val="PageNumber"/>
        <w:rFonts w:eastAsia="仿宋_GB2312"/>
        <w:noProof/>
        <w:sz w:val="28"/>
        <w:szCs w:val="28"/>
      </w:rPr>
      <w:t>2</w:t>
    </w:r>
    <w:r>
      <w:rPr>
        <w:rStyle w:val="PageNumber"/>
        <w:rFonts w:eastAsia="仿宋_GB2312"/>
        <w:sz w:val="28"/>
        <w:szCs w:val="28"/>
      </w:rPr>
      <w:fldChar w:fldCharType="end"/>
    </w:r>
    <w:r>
      <w:rPr>
        <w:rFonts w:eastAsia="仿宋_GB2312"/>
        <w:sz w:val="28"/>
        <w:szCs w:val="28"/>
      </w:rPr>
      <w:t xml:space="preserve"> </w:t>
    </w:r>
    <w:r>
      <w:rPr>
        <w:rFonts w:ascii="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B8" w:rsidRDefault="009B3EB8">
    <w:pPr>
      <w:pStyle w:val="Footer"/>
      <w:ind w:firstLineChars="2600" w:firstLine="7280"/>
    </w:pPr>
    <w:r>
      <w:rPr>
        <w:rFonts w:ascii="宋体" w:hAnsi="宋体"/>
        <w:sz w:val="28"/>
        <w:szCs w:val="28"/>
      </w:rPr>
      <w:t xml:space="preserve">— </w:t>
    </w:r>
    <w:r>
      <w:rPr>
        <w:rStyle w:val="PageNumber"/>
        <w:rFonts w:eastAsia="仿宋_GB2312"/>
        <w:sz w:val="28"/>
        <w:szCs w:val="28"/>
      </w:rPr>
      <w:fldChar w:fldCharType="begin"/>
    </w:r>
    <w:r>
      <w:rPr>
        <w:rStyle w:val="PageNumber"/>
        <w:rFonts w:eastAsia="仿宋_GB2312"/>
        <w:sz w:val="28"/>
        <w:szCs w:val="28"/>
      </w:rPr>
      <w:instrText xml:space="preserve">PAGE  </w:instrText>
    </w:r>
    <w:r>
      <w:rPr>
        <w:rStyle w:val="PageNumber"/>
        <w:rFonts w:eastAsia="仿宋_GB2312"/>
        <w:sz w:val="28"/>
        <w:szCs w:val="28"/>
      </w:rPr>
      <w:fldChar w:fldCharType="separate"/>
    </w:r>
    <w:r>
      <w:rPr>
        <w:rStyle w:val="PageNumber"/>
        <w:rFonts w:eastAsia="仿宋_GB2312"/>
        <w:noProof/>
        <w:sz w:val="28"/>
        <w:szCs w:val="28"/>
      </w:rPr>
      <w:t>1</w:t>
    </w:r>
    <w:r>
      <w:rPr>
        <w:rStyle w:val="PageNumber"/>
        <w:rFonts w:eastAsia="仿宋_GB2312"/>
        <w:sz w:val="28"/>
        <w:szCs w:val="28"/>
      </w:rPr>
      <w:fldChar w:fldCharType="end"/>
    </w:r>
    <w:r>
      <w:rPr>
        <w:rFonts w:eastAsia="仿宋_GB2312"/>
        <w:sz w:val="28"/>
        <w:szCs w:val="28"/>
      </w:rPr>
      <w:t xml:space="preserve"> </w:t>
    </w:r>
    <w:r>
      <w:rPr>
        <w:rFonts w:ascii="宋体" w:hAnsi="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B8" w:rsidRDefault="009B3EB8" w:rsidP="00D2037C">
      <w:r>
        <w:separator/>
      </w:r>
    </w:p>
  </w:footnote>
  <w:footnote w:type="continuationSeparator" w:id="0">
    <w:p w:rsidR="009B3EB8" w:rsidRDefault="009B3EB8" w:rsidP="00D20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A27C"/>
    <w:multiLevelType w:val="singleLevel"/>
    <w:tmpl w:val="1D4AA27C"/>
    <w:lvl w:ilvl="0">
      <w:start w:val="5"/>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EF1"/>
    <w:rsid w:val="00071003"/>
    <w:rsid w:val="00460D7D"/>
    <w:rsid w:val="005D3AF2"/>
    <w:rsid w:val="005F613A"/>
    <w:rsid w:val="00682823"/>
    <w:rsid w:val="006D3A74"/>
    <w:rsid w:val="00781EF1"/>
    <w:rsid w:val="0081071E"/>
    <w:rsid w:val="008C5E7B"/>
    <w:rsid w:val="00903FDF"/>
    <w:rsid w:val="00976419"/>
    <w:rsid w:val="009B3EB8"/>
    <w:rsid w:val="00B8339D"/>
    <w:rsid w:val="00C87ED0"/>
    <w:rsid w:val="00CD59C6"/>
    <w:rsid w:val="00D2037C"/>
    <w:rsid w:val="00DE1437"/>
    <w:rsid w:val="00DE7897"/>
    <w:rsid w:val="05841C06"/>
    <w:rsid w:val="069701B2"/>
    <w:rsid w:val="07BE3EC0"/>
    <w:rsid w:val="15490E4A"/>
    <w:rsid w:val="17BD4A0A"/>
    <w:rsid w:val="27483EC9"/>
    <w:rsid w:val="28450DD7"/>
    <w:rsid w:val="2C127FB7"/>
    <w:rsid w:val="314E1AEF"/>
    <w:rsid w:val="47AB704D"/>
    <w:rsid w:val="4BF402FD"/>
    <w:rsid w:val="50C11846"/>
    <w:rsid w:val="54BA7127"/>
    <w:rsid w:val="57A877D1"/>
    <w:rsid w:val="595E412E"/>
    <w:rsid w:val="6B0D1396"/>
    <w:rsid w:val="6E077A63"/>
    <w:rsid w:val="772854C9"/>
    <w:rsid w:val="787E54FE"/>
    <w:rsid w:val="7A7E262C"/>
    <w:rsid w:val="7BA90A78"/>
    <w:rsid w:val="7D8858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7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3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2037C"/>
    <w:rPr>
      <w:rFonts w:cs="Times New Roman"/>
      <w:sz w:val="18"/>
      <w:szCs w:val="18"/>
    </w:rPr>
  </w:style>
  <w:style w:type="paragraph" w:styleId="Header">
    <w:name w:val="header"/>
    <w:basedOn w:val="Normal"/>
    <w:link w:val="HeaderChar"/>
    <w:uiPriority w:val="99"/>
    <w:rsid w:val="00D203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2037C"/>
    <w:rPr>
      <w:rFonts w:cs="Times New Roman"/>
      <w:sz w:val="18"/>
      <w:szCs w:val="18"/>
    </w:rPr>
  </w:style>
  <w:style w:type="character" w:styleId="PageNumber">
    <w:name w:val="page number"/>
    <w:basedOn w:val="DefaultParagraphFont"/>
    <w:uiPriority w:val="99"/>
    <w:rsid w:val="00D203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197</Words>
  <Characters>1126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王明涛</dc:creator>
  <cp:keywords/>
  <dc:description/>
  <cp:lastModifiedBy>王明涛</cp:lastModifiedBy>
  <cp:revision>4</cp:revision>
  <dcterms:created xsi:type="dcterms:W3CDTF">2018-10-17T02:46:00Z</dcterms:created>
  <dcterms:modified xsi:type="dcterms:W3CDTF">2020-06-03T03:11:00Z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