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32"/>
          <w:szCs w:val="32"/>
        </w:rPr>
      </w:pPr>
      <w:r w:rsidRPr="00EC498D">
        <w:rPr>
          <w:rFonts w:ascii="黑体" w:eastAsia="黑体" w:hAnsi="Times New Roman" w:cs="Times New Roman" w:hint="eastAsia"/>
          <w:w w:val="95"/>
          <w:kern w:val="0"/>
          <w:sz w:val="32"/>
          <w:szCs w:val="32"/>
        </w:rPr>
        <w:t>附件</w:t>
      </w:r>
      <w:r w:rsidR="0016768A">
        <w:rPr>
          <w:rFonts w:ascii="黑体" w:eastAsia="黑体" w:hAnsi="Times New Roman" w:cs="Times New Roman" w:hint="eastAsia"/>
          <w:w w:val="95"/>
          <w:kern w:val="0"/>
          <w:sz w:val="32"/>
          <w:szCs w:val="32"/>
        </w:rPr>
        <w:t>1</w:t>
      </w:r>
      <w:r w:rsidR="001C6249">
        <w:rPr>
          <w:rFonts w:ascii="黑体" w:eastAsia="黑体" w:hAnsi="Times New Roman" w:cs="Times New Roman" w:hint="eastAsia"/>
          <w:w w:val="95"/>
          <w:kern w:val="0"/>
          <w:sz w:val="32"/>
          <w:szCs w:val="32"/>
        </w:rPr>
        <w:t>1</w:t>
      </w:r>
    </w:p>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1E4471" w:rsidRDefault="001E4471" w:rsidP="001E4471">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天津市滨海新区科学技术局</w:t>
      </w:r>
      <w:r w:rsidR="00EC498D" w:rsidRPr="00EC498D">
        <w:rPr>
          <w:rFonts w:ascii="黑体" w:eastAsia="黑体" w:hAnsi="Times New Roman" w:cs="Times New Roman" w:hint="eastAsia"/>
          <w:w w:val="95"/>
          <w:kern w:val="0"/>
          <w:sz w:val="44"/>
          <w:szCs w:val="44"/>
        </w:rPr>
        <w:t>20</w:t>
      </w:r>
      <w:r w:rsidR="00C01D5E">
        <w:rPr>
          <w:rFonts w:ascii="黑体" w:eastAsia="黑体" w:hAnsi="Times New Roman" w:cs="Times New Roman" w:hint="eastAsia"/>
          <w:w w:val="95"/>
          <w:kern w:val="0"/>
          <w:sz w:val="44"/>
          <w:szCs w:val="44"/>
        </w:rPr>
        <w:t>20</w:t>
      </w:r>
      <w:r w:rsidR="00EC498D" w:rsidRPr="00EC498D">
        <w:rPr>
          <w:rFonts w:ascii="黑体" w:eastAsia="黑体" w:hAnsi="Times New Roman" w:cs="Times New Roman" w:hint="eastAsia"/>
          <w:w w:val="95"/>
          <w:kern w:val="0"/>
          <w:sz w:val="44"/>
          <w:szCs w:val="44"/>
        </w:rPr>
        <w:t>年部门</w:t>
      </w:r>
    </w:p>
    <w:p w:rsidR="00EC498D" w:rsidRPr="00EC498D" w:rsidRDefault="00EC498D" w:rsidP="001E4471">
      <w:pPr>
        <w:adjustRightInd w:val="0"/>
        <w:spacing w:line="600" w:lineRule="exact"/>
        <w:jc w:val="center"/>
        <w:textAlignment w:val="baseline"/>
        <w:rPr>
          <w:rFonts w:ascii="黑体" w:eastAsia="黑体" w:hAnsi="Times New Roman" w:cs="Times New Roman"/>
          <w:w w:val="95"/>
          <w:kern w:val="0"/>
          <w:sz w:val="44"/>
          <w:szCs w:val="44"/>
        </w:rPr>
      </w:pPr>
      <w:r w:rsidRPr="00EC498D">
        <w:rPr>
          <w:rFonts w:ascii="黑体" w:eastAsia="黑体" w:hAnsi="Times New Roman" w:cs="Times New Roman" w:hint="eastAsia"/>
          <w:w w:val="95"/>
          <w:kern w:val="0"/>
          <w:sz w:val="44"/>
          <w:szCs w:val="44"/>
        </w:rPr>
        <w:t>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1E4471" w:rsidRPr="001E4471" w:rsidRDefault="001E4471" w:rsidP="001E4471">
      <w:pPr>
        <w:pStyle w:val="20"/>
        <w:shd w:val="clear" w:color="auto" w:fill="auto"/>
        <w:tabs>
          <w:tab w:val="left" w:pos="1416"/>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（一）贯彻执行科技创新工作的法律、法规和方针、政策。制定有关科技方面的规范性文件，并组织实施。</w:t>
      </w:r>
    </w:p>
    <w:p w:rsidR="001E4471" w:rsidRPr="001E4471" w:rsidRDefault="001E4471" w:rsidP="001E4471">
      <w:pPr>
        <w:pStyle w:val="20"/>
        <w:shd w:val="clear" w:color="auto" w:fill="auto"/>
        <w:tabs>
          <w:tab w:val="left" w:pos="1403"/>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（二）坚持创新驱动发展战略方针，拟订科技发展、引进国外智力规划和措施并组织实施。研究确定科技发展布局和优先发展领域，支撑现代化经济体系建设。</w:t>
      </w:r>
    </w:p>
    <w:p w:rsidR="001E4471" w:rsidRPr="001E4471" w:rsidRDefault="001E4471" w:rsidP="001E4471">
      <w:pPr>
        <w:pStyle w:val="20"/>
        <w:shd w:val="clear" w:color="auto" w:fill="auto"/>
        <w:tabs>
          <w:tab w:val="left" w:pos="1421"/>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三）统筹推进创新体系建设和科技体制改革，会同有关部门健全技术创新激励机制，优化科研体系建设，指导科研机构改革发展，推动企业科技创新能力建设。承担推进科技军民融合发展相关工作。负责国防科技信息动员工作。推进重大科技决策咨询制度建设。</w:t>
      </w:r>
    </w:p>
    <w:p w:rsidR="001E4471" w:rsidRPr="001E4471" w:rsidRDefault="001E4471" w:rsidP="001E4471">
      <w:pPr>
        <w:pStyle w:val="20"/>
        <w:shd w:val="clear" w:color="auto" w:fill="auto"/>
        <w:tabs>
          <w:tab w:val="left" w:pos="1416"/>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四）会同有关部门提出优化配置科技资源的措施建议。推动多元化科技投入体系建设，负责相关科技经费预决算及使用的监督管理，协调管理区级财政科技计划（专项、基金等）并监督实施。推动科技型企业发展。会同有关部门推进科技金融投融资体系建设，推动科技型企业融资工作。</w:t>
      </w:r>
    </w:p>
    <w:p w:rsidR="001E4471" w:rsidRPr="001E4471" w:rsidRDefault="001E4471" w:rsidP="001E4471">
      <w:pPr>
        <w:pStyle w:val="1"/>
        <w:shd w:val="clear" w:color="auto" w:fill="auto"/>
        <w:tabs>
          <w:tab w:val="left" w:pos="1095"/>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（五）会同有关部门研究提出科技资源共享的措施，推进科技</w:t>
      </w:r>
      <w:r w:rsidRPr="001E4471">
        <w:rPr>
          <w:rFonts w:ascii="仿宋_GB2312" w:eastAsia="仿宋_GB2312" w:hAnsi="Times New Roman" w:cs="Times New Roman" w:hint="eastAsia"/>
          <w:sz w:val="30"/>
          <w:szCs w:val="30"/>
        </w:rPr>
        <w:lastRenderedPageBreak/>
        <w:t>基础条件平台建设和科技资源共享。</w:t>
      </w:r>
    </w:p>
    <w:p w:rsidR="001E4471" w:rsidRPr="001E4471" w:rsidRDefault="001E4471" w:rsidP="001E4471">
      <w:pPr>
        <w:pStyle w:val="1"/>
        <w:shd w:val="clear" w:color="auto" w:fill="auto"/>
        <w:tabs>
          <w:tab w:val="left" w:pos="1111"/>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（六）组织制定重大科技项目规划措施办法，会同有关部门推进关键共性技术、前沿引领技术、现代工程技术、颠覆性技术研发和创新，组织重大技术攻关和成果应用示范。</w:t>
      </w:r>
    </w:p>
    <w:p w:rsidR="001E4471" w:rsidRPr="001E4471" w:rsidRDefault="001E4471" w:rsidP="001E4471">
      <w:pPr>
        <w:pStyle w:val="1"/>
        <w:shd w:val="clear" w:color="auto" w:fill="auto"/>
        <w:tabs>
          <w:tab w:val="left" w:pos="1118"/>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（七）组织拟订高新技术发展及产业化、科技促进农业农村和社会发展的规划、措施。促进以改善民生为重点的农村建设和社会建设，指导可持续发展实验点建设。组织开展重点领域技术发展需求分析。</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（八）牵头技术转移体系建设，拟订科技成果转移转化和促进产学研结合的相关办法。推动科技服务业、技术市场和科技中介组织发展。推动生物医药产业发展和企业自主创新能力建设。</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（九）统筹科技创新体系建设，指导区域创新发展、科技资源合理布局和协同创新能力建设，推动科技园区建设。</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（十）负责科技监督评价体系建设和相关科技评估管理，指导科技评价机制改革，统筹科研诚信建设。负责科技统计工作。组织实施创新调查和科技报告制度。负责科技保密工作。</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color w:val="FF0000"/>
          <w:sz w:val="30"/>
          <w:szCs w:val="30"/>
        </w:rPr>
      </w:pPr>
      <w:r w:rsidRPr="001E4471">
        <w:rPr>
          <w:rFonts w:ascii="仿宋_GB2312" w:eastAsia="仿宋_GB2312" w:hAnsi="Times New Roman" w:cs="Times New Roman" w:hint="eastAsia"/>
          <w:sz w:val="30"/>
          <w:szCs w:val="30"/>
        </w:rPr>
        <w:t>（十一）研究拟订科技对外交往与创新能力开放合作的办法和计划，负责组织开展国际科技合作与科技人才交流活动。</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（十二）负责引进国外智力工作。建立外国高端科学家、团队</w:t>
      </w:r>
      <w:r w:rsidRPr="001E4471">
        <w:rPr>
          <w:rFonts w:ascii="仿宋_GB2312" w:eastAsia="仿宋_GB2312" w:hAnsi="Times New Roman" w:cs="Times New Roman" w:hint="eastAsia"/>
          <w:iCs/>
          <w:sz w:val="30"/>
          <w:szCs w:val="30"/>
        </w:rPr>
        <w:t>吸引集聚机制和重点外国专家联系服务机制。做好出国（境）培训项目的组织推荐和初审工作</w:t>
      </w:r>
      <w:r w:rsidRPr="001E4471">
        <w:rPr>
          <w:rFonts w:ascii="仿宋_GB2312" w:eastAsia="仿宋_GB2312" w:hAnsi="Times New Roman" w:cs="Times New Roman" w:hint="eastAsia"/>
          <w:sz w:val="30"/>
          <w:szCs w:val="30"/>
        </w:rPr>
        <w:t>。</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（十三）会同有关部门拟订科技人才队伍建设规划，</w:t>
      </w:r>
      <w:r w:rsidRPr="001E4471">
        <w:rPr>
          <w:rFonts w:ascii="仿宋_GB2312" w:eastAsia="仿宋_GB2312" w:hAnsi="Times New Roman" w:cs="Times New Roman" w:hint="eastAsia"/>
          <w:iCs/>
          <w:sz w:val="30"/>
          <w:szCs w:val="30"/>
        </w:rPr>
        <w:t>建立健全</w:t>
      </w:r>
      <w:r w:rsidRPr="001E4471">
        <w:rPr>
          <w:rFonts w:ascii="仿宋_GB2312" w:eastAsia="仿宋_GB2312" w:hAnsi="Times New Roman" w:cs="Times New Roman" w:hint="eastAsia"/>
          <w:iCs/>
          <w:sz w:val="30"/>
          <w:szCs w:val="30"/>
        </w:rPr>
        <w:lastRenderedPageBreak/>
        <w:t>科技人才评价和激励机制，</w:t>
      </w:r>
      <w:r w:rsidRPr="001E4471">
        <w:rPr>
          <w:rFonts w:ascii="仿宋_GB2312" w:eastAsia="仿宋_GB2312" w:hAnsi="Times New Roman" w:cs="Times New Roman" w:hint="eastAsia"/>
          <w:sz w:val="30"/>
          <w:szCs w:val="30"/>
        </w:rPr>
        <w:t>组织实施科技人才计划，推动高端科技创新人才队伍建设。拟订科学普及和科学传播实施计划。</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（十四）负责组织开展科技奖励申报工作。</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（十五）指导协调本区域科技工作。做好中央、市级科研机构有关业务工作的协调、服务。</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（十六）承担本领域安全生产管理责任。</w:t>
      </w:r>
    </w:p>
    <w:p w:rsidR="001E4471" w:rsidRPr="001E4471" w:rsidRDefault="001E4471" w:rsidP="001E4471">
      <w:pPr>
        <w:pStyle w:val="1"/>
        <w:shd w:val="clear" w:color="auto" w:fill="auto"/>
        <w:tabs>
          <w:tab w:val="left" w:pos="1137"/>
        </w:tabs>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（十七）组织推动科技领域招商引资工作。</w:t>
      </w:r>
    </w:p>
    <w:p w:rsidR="001E4471" w:rsidRPr="001E4471" w:rsidRDefault="001E4471" w:rsidP="001E4471">
      <w:pPr>
        <w:pStyle w:val="1"/>
        <w:shd w:val="clear" w:color="auto" w:fill="auto"/>
        <w:spacing w:line="588" w:lineRule="exact"/>
        <w:ind w:right="-1" w:firstLineChars="200" w:firstLine="600"/>
        <w:jc w:val="both"/>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（十八）完成区委、区政府交办的其他任务。</w:t>
      </w:r>
    </w:p>
    <w:p w:rsidR="001E4471" w:rsidRPr="001E4471" w:rsidRDefault="001E4471" w:rsidP="001E4471">
      <w:pPr>
        <w:pStyle w:val="1"/>
        <w:shd w:val="clear" w:color="auto" w:fill="auto"/>
        <w:spacing w:line="588" w:lineRule="exact"/>
        <w:ind w:right="-1" w:firstLineChars="200" w:firstLine="600"/>
        <w:jc w:val="both"/>
        <w:rPr>
          <w:rFonts w:ascii="仿宋_GB2312" w:eastAsia="仿宋_GB2312" w:hAnsi="Times New Roman" w:cs="Times New Roman"/>
          <w:sz w:val="30"/>
          <w:szCs w:val="30"/>
          <w:lang w:val="en-US"/>
        </w:rPr>
      </w:pPr>
      <w:r w:rsidRPr="001E4471">
        <w:rPr>
          <w:rFonts w:ascii="仿宋_GB2312" w:eastAsia="仿宋_GB2312" w:hAnsi="Times New Roman" w:cs="Times New Roman" w:hint="eastAsia"/>
          <w:sz w:val="30"/>
          <w:szCs w:val="30"/>
        </w:rPr>
        <w:t>（十九）职能转变。围绕贯彻实施科教兴国战略、人才强国战略、创新驱动发展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政府部门不直接管理具体科研项目，委托项目管理专业机构开展项目受理、评审、立项、过程管理、验收等具体工作。进一步改进科技人才评价机制，建立健全以创新能力、质量、贡献、绩效为导向的科技人才评价体系和激励政策，统筹科技人才队伍建设和引进国外智力工作。</w:t>
      </w:r>
    </w:p>
    <w:p w:rsidR="001E4471" w:rsidRDefault="001E4471" w:rsidP="001E4471">
      <w:pPr>
        <w:spacing w:line="600" w:lineRule="exact"/>
        <w:ind w:firstLineChars="200" w:firstLine="600"/>
        <w:rPr>
          <w:rFonts w:ascii="仿宋_GB2312" w:eastAsia="仿宋_GB2312" w:hAnsi="Times New Roman" w:cs="Times New Roman"/>
          <w:sz w:val="30"/>
          <w:szCs w:val="30"/>
        </w:rPr>
      </w:pPr>
      <w:r w:rsidRPr="001E4471">
        <w:rPr>
          <w:rFonts w:ascii="仿宋_GB2312" w:eastAsia="仿宋_GB2312" w:hAnsi="Times New Roman" w:cs="Times New Roman" w:hint="eastAsia"/>
          <w:sz w:val="30"/>
          <w:szCs w:val="30"/>
        </w:rPr>
        <w:t>（二十）有关职责分工。与区人力资源和社会保障局在外国人来津工作有关职责分工。来华工作A类人员来津工作政策由区科学技术局会同区人力资源和社会保障局落实。B类和C类人员来津工作政策由区人力资源和社会保障局会同区科学技术局落实。</w:t>
      </w:r>
    </w:p>
    <w:p w:rsidR="00F16D02" w:rsidRPr="001E4471" w:rsidRDefault="00F16D02" w:rsidP="001E4471">
      <w:pPr>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（二十一）承接市级科技</w:t>
      </w:r>
      <w:r w:rsidR="00280596">
        <w:rPr>
          <w:rFonts w:ascii="仿宋_GB2312" w:eastAsia="仿宋_GB2312" w:hAnsi="Times New Roman" w:cs="Times New Roman" w:hint="eastAsia"/>
          <w:sz w:val="30"/>
          <w:szCs w:val="30"/>
        </w:rPr>
        <w:t>事权</w:t>
      </w:r>
      <w:r>
        <w:rPr>
          <w:rFonts w:ascii="仿宋_GB2312" w:eastAsia="仿宋_GB2312" w:hAnsi="Times New Roman" w:cs="Times New Roman" w:hint="eastAsia"/>
          <w:sz w:val="30"/>
          <w:szCs w:val="30"/>
        </w:rPr>
        <w:t>下放的11项计划项目的组织实施工作。</w:t>
      </w:r>
    </w:p>
    <w:p w:rsidR="00146288" w:rsidRPr="00E37F65" w:rsidRDefault="00146288" w:rsidP="001E4471">
      <w:pPr>
        <w:spacing w:line="600" w:lineRule="exact"/>
        <w:ind w:firstLineChars="200" w:firstLine="600"/>
        <w:rPr>
          <w:rFonts w:eastAsia="黑体"/>
          <w:sz w:val="30"/>
          <w:szCs w:val="30"/>
        </w:rPr>
      </w:pPr>
      <w:r w:rsidRPr="00E37F65">
        <w:rPr>
          <w:rFonts w:eastAsia="黑体"/>
          <w:sz w:val="30"/>
          <w:szCs w:val="30"/>
        </w:rPr>
        <w:t>二、部门机构设置情况</w:t>
      </w:r>
    </w:p>
    <w:p w:rsidR="00146288" w:rsidRDefault="00146288" w:rsidP="00146288">
      <w:pPr>
        <w:spacing w:line="600" w:lineRule="exact"/>
        <w:ind w:firstLineChars="200" w:firstLine="600"/>
        <w:rPr>
          <w:rFonts w:eastAsia="仿宋_GB2312"/>
          <w:sz w:val="30"/>
          <w:szCs w:val="30"/>
        </w:rPr>
      </w:pPr>
      <w:r w:rsidRPr="00E37F65">
        <w:rPr>
          <w:rFonts w:eastAsia="仿宋_GB2312"/>
          <w:sz w:val="30"/>
          <w:szCs w:val="30"/>
        </w:rPr>
        <w:t>内设</w:t>
      </w:r>
      <w:r w:rsidR="001E4471">
        <w:rPr>
          <w:rFonts w:eastAsia="仿宋_GB2312" w:hint="eastAsia"/>
          <w:sz w:val="30"/>
          <w:szCs w:val="30"/>
        </w:rPr>
        <w:t>5</w:t>
      </w:r>
      <w:r w:rsidRPr="00E37F65">
        <w:rPr>
          <w:rFonts w:eastAsia="仿宋_GB2312"/>
          <w:sz w:val="30"/>
          <w:szCs w:val="30"/>
        </w:rPr>
        <w:t>个职能室；下辖</w:t>
      </w:r>
      <w:r w:rsidR="001E4471">
        <w:rPr>
          <w:rFonts w:eastAsia="仿宋_GB2312" w:hint="eastAsia"/>
          <w:sz w:val="30"/>
          <w:szCs w:val="30"/>
        </w:rPr>
        <w:t>4</w:t>
      </w:r>
      <w:r w:rsidRPr="00E37F65">
        <w:rPr>
          <w:rFonts w:eastAsia="仿宋_GB2312"/>
          <w:sz w:val="30"/>
          <w:szCs w:val="30"/>
        </w:rPr>
        <w:t>个预算单位</w:t>
      </w:r>
      <w:r w:rsidR="001E4471">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CE3A17" w:rsidRDefault="00CE3A17" w:rsidP="008908D9">
      <w:pPr>
        <w:spacing w:line="600" w:lineRule="exact"/>
        <w:ind w:firstLineChars="200" w:firstLine="600"/>
        <w:rPr>
          <w:rFonts w:eastAsia="仿宋_GB2312"/>
          <w:sz w:val="30"/>
          <w:szCs w:val="30"/>
        </w:rPr>
      </w:pPr>
      <w:r w:rsidRPr="00E37F65">
        <w:rPr>
          <w:rFonts w:eastAsia="仿宋_GB2312"/>
          <w:sz w:val="30"/>
          <w:szCs w:val="30"/>
        </w:rPr>
        <w:t>部门收入预算</w:t>
      </w:r>
      <w:r w:rsidR="008908D9">
        <w:rPr>
          <w:rFonts w:eastAsia="仿宋_GB2312" w:hint="eastAsia"/>
          <w:sz w:val="30"/>
          <w:szCs w:val="30"/>
        </w:rPr>
        <w:t>1414.4</w:t>
      </w:r>
      <w:r w:rsidRPr="00E37F65">
        <w:rPr>
          <w:rFonts w:eastAsia="仿宋_GB2312"/>
          <w:sz w:val="30"/>
          <w:szCs w:val="30"/>
        </w:rPr>
        <w:t>万元，与</w:t>
      </w:r>
      <w:r>
        <w:rPr>
          <w:rFonts w:eastAsia="仿宋_GB2312"/>
          <w:sz w:val="30"/>
          <w:szCs w:val="30"/>
        </w:rPr>
        <w:t>20</w:t>
      </w:r>
      <w:r>
        <w:rPr>
          <w:rFonts w:eastAsia="仿宋_GB2312" w:hint="eastAsia"/>
          <w:sz w:val="30"/>
          <w:szCs w:val="30"/>
        </w:rPr>
        <w:t>19</w:t>
      </w:r>
      <w:r w:rsidRPr="00E37F65">
        <w:rPr>
          <w:rFonts w:eastAsia="仿宋_GB2312"/>
          <w:sz w:val="30"/>
          <w:szCs w:val="30"/>
        </w:rPr>
        <w:t>年预算相比减少</w:t>
      </w:r>
      <w:r w:rsidR="008908D9">
        <w:rPr>
          <w:rFonts w:eastAsia="仿宋_GB2312" w:hint="eastAsia"/>
          <w:sz w:val="30"/>
          <w:szCs w:val="30"/>
        </w:rPr>
        <w:t>378.86</w:t>
      </w:r>
      <w:r w:rsidRPr="00E37F65">
        <w:rPr>
          <w:rFonts w:eastAsia="仿宋_GB2312"/>
          <w:sz w:val="30"/>
          <w:szCs w:val="30"/>
        </w:rPr>
        <w:t>万元。其中，本年收入合计</w:t>
      </w:r>
      <w:r w:rsidR="008908D9">
        <w:rPr>
          <w:rFonts w:eastAsia="仿宋_GB2312" w:hint="eastAsia"/>
          <w:sz w:val="30"/>
          <w:szCs w:val="30"/>
        </w:rPr>
        <w:t>1414.4</w:t>
      </w:r>
      <w:r w:rsidRPr="00E37F65">
        <w:rPr>
          <w:rFonts w:eastAsia="仿宋_GB2312"/>
          <w:sz w:val="30"/>
          <w:szCs w:val="30"/>
        </w:rPr>
        <w:t>万元，与</w:t>
      </w:r>
      <w:r>
        <w:rPr>
          <w:rFonts w:eastAsia="仿宋_GB2312"/>
          <w:sz w:val="30"/>
          <w:szCs w:val="30"/>
        </w:rPr>
        <w:t>201</w:t>
      </w:r>
      <w:r>
        <w:rPr>
          <w:rFonts w:eastAsia="仿宋_GB2312" w:hint="eastAsia"/>
          <w:sz w:val="30"/>
          <w:szCs w:val="30"/>
        </w:rPr>
        <w:t>9</w:t>
      </w:r>
      <w:r w:rsidRPr="00E37F65">
        <w:rPr>
          <w:rFonts w:eastAsia="仿宋_GB2312"/>
          <w:sz w:val="30"/>
          <w:szCs w:val="30"/>
        </w:rPr>
        <w:t>年预算相比</w:t>
      </w:r>
      <w:r w:rsidR="008908D9" w:rsidRPr="00E37F65">
        <w:rPr>
          <w:rFonts w:eastAsia="仿宋_GB2312"/>
          <w:sz w:val="30"/>
          <w:szCs w:val="30"/>
        </w:rPr>
        <w:t>减少</w:t>
      </w:r>
      <w:r w:rsidR="008908D9">
        <w:rPr>
          <w:rFonts w:eastAsia="仿宋_GB2312" w:hint="eastAsia"/>
          <w:sz w:val="30"/>
          <w:szCs w:val="30"/>
        </w:rPr>
        <w:t>378.86</w:t>
      </w:r>
      <w:r w:rsidRPr="00E37F65">
        <w:rPr>
          <w:rFonts w:eastAsia="仿宋_GB2312"/>
          <w:sz w:val="30"/>
          <w:szCs w:val="30"/>
        </w:rPr>
        <w:t>万元，包括</w:t>
      </w:r>
      <w:r w:rsidRPr="009D2134">
        <w:rPr>
          <w:rFonts w:eastAsia="仿宋_GB2312" w:hint="eastAsia"/>
          <w:sz w:val="30"/>
          <w:szCs w:val="30"/>
        </w:rPr>
        <w:t>财政拨款预算收入</w:t>
      </w:r>
      <w:r w:rsidR="008908D9">
        <w:rPr>
          <w:rFonts w:eastAsia="仿宋_GB2312" w:hint="eastAsia"/>
          <w:sz w:val="30"/>
          <w:szCs w:val="30"/>
        </w:rPr>
        <w:t>1414.4</w:t>
      </w:r>
      <w:r w:rsidRPr="00E37F65">
        <w:rPr>
          <w:rFonts w:eastAsia="仿宋_GB2312"/>
          <w:sz w:val="30"/>
          <w:szCs w:val="30"/>
        </w:rPr>
        <w:t>万元、</w:t>
      </w:r>
      <w:r w:rsidRPr="009D2134">
        <w:rPr>
          <w:rFonts w:eastAsia="仿宋_GB2312" w:hint="eastAsia"/>
          <w:sz w:val="30"/>
          <w:szCs w:val="30"/>
        </w:rPr>
        <w:t>非同级财政拨款预算收入</w:t>
      </w:r>
      <w:r w:rsidR="008908D9">
        <w:rPr>
          <w:rFonts w:eastAsia="仿宋_GB2312" w:hint="eastAsia"/>
          <w:sz w:val="30"/>
          <w:szCs w:val="30"/>
        </w:rPr>
        <w:t>0</w:t>
      </w:r>
      <w:r w:rsidRPr="00E37F65">
        <w:rPr>
          <w:rFonts w:eastAsia="仿宋_GB2312"/>
          <w:sz w:val="30"/>
          <w:szCs w:val="30"/>
        </w:rPr>
        <w:t>万元</w:t>
      </w:r>
      <w:r>
        <w:rPr>
          <w:rFonts w:eastAsia="仿宋_GB2312" w:hint="eastAsia"/>
          <w:sz w:val="30"/>
          <w:szCs w:val="30"/>
        </w:rPr>
        <w:t>、</w:t>
      </w:r>
      <w:r w:rsidRPr="009D2134">
        <w:rPr>
          <w:rFonts w:eastAsia="仿宋_GB2312" w:hint="eastAsia"/>
          <w:sz w:val="30"/>
          <w:szCs w:val="30"/>
        </w:rPr>
        <w:t>事业预算收入</w:t>
      </w:r>
      <w:r w:rsidR="008908D9">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经营预算收入</w:t>
      </w:r>
      <w:r w:rsidR="008908D9">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上级补助预算收入</w:t>
      </w:r>
      <w:r w:rsidR="008908D9">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附属单位上缴预算收入</w:t>
      </w:r>
      <w:r w:rsidR="008908D9">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投资预算收益</w:t>
      </w:r>
      <w:r w:rsidR="008908D9">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其他预算收入</w:t>
      </w:r>
      <w:r w:rsidR="008908D9">
        <w:rPr>
          <w:rFonts w:eastAsia="仿宋_GB2312" w:hint="eastAsia"/>
          <w:sz w:val="30"/>
          <w:szCs w:val="30"/>
        </w:rPr>
        <w:t>0</w:t>
      </w:r>
      <w:r w:rsidRPr="00E37F65">
        <w:rPr>
          <w:rFonts w:eastAsia="仿宋_GB2312"/>
          <w:sz w:val="30"/>
          <w:szCs w:val="30"/>
        </w:rPr>
        <w:t>万元；上年结转和结余</w:t>
      </w:r>
      <w:r w:rsidR="008908D9">
        <w:rPr>
          <w:rFonts w:eastAsia="仿宋_GB2312" w:hint="eastAsia"/>
          <w:sz w:val="30"/>
          <w:szCs w:val="30"/>
        </w:rPr>
        <w:t>0</w:t>
      </w:r>
      <w:r w:rsidRPr="00E37F65">
        <w:rPr>
          <w:rFonts w:eastAsia="仿宋_GB2312"/>
          <w:sz w:val="30"/>
          <w:szCs w:val="30"/>
        </w:rPr>
        <w:t>万元。</w:t>
      </w:r>
    </w:p>
    <w:p w:rsidR="00146288" w:rsidRPr="00E37F65" w:rsidRDefault="00146288" w:rsidP="00CE3A17">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t>部门支出预算</w:t>
      </w:r>
      <w:r w:rsidR="008908D9">
        <w:rPr>
          <w:rFonts w:eastAsia="仿宋_GB2312" w:hint="eastAsia"/>
          <w:sz w:val="30"/>
          <w:szCs w:val="30"/>
        </w:rPr>
        <w:t>1414.4</w:t>
      </w:r>
      <w:r w:rsidRPr="00CE3A17">
        <w:rPr>
          <w:rFonts w:eastAsia="仿宋_GB2312" w:hint="eastAsia"/>
          <w:sz w:val="30"/>
          <w:szCs w:val="30"/>
        </w:rPr>
        <w:t>万元，与</w:t>
      </w:r>
      <w:r w:rsidRPr="00CE3A17">
        <w:rPr>
          <w:rFonts w:eastAsia="仿宋_GB2312" w:hint="eastAsia"/>
          <w:sz w:val="30"/>
          <w:szCs w:val="30"/>
        </w:rPr>
        <w:t>2019</w:t>
      </w:r>
      <w:r w:rsidRPr="00CE3A17">
        <w:rPr>
          <w:rFonts w:eastAsia="仿宋_GB2312" w:hint="eastAsia"/>
          <w:sz w:val="30"/>
          <w:szCs w:val="30"/>
        </w:rPr>
        <w:t>年预算相比</w:t>
      </w:r>
      <w:r w:rsidR="008908D9" w:rsidRPr="00E37F65">
        <w:rPr>
          <w:rFonts w:eastAsia="仿宋_GB2312"/>
          <w:sz w:val="30"/>
          <w:szCs w:val="30"/>
        </w:rPr>
        <w:t>减少</w:t>
      </w:r>
      <w:r w:rsidR="008908D9">
        <w:rPr>
          <w:rFonts w:eastAsia="仿宋_GB2312" w:hint="eastAsia"/>
          <w:sz w:val="30"/>
          <w:szCs w:val="30"/>
        </w:rPr>
        <w:t>378.86</w:t>
      </w:r>
      <w:r w:rsidRPr="00CE3A17">
        <w:rPr>
          <w:rFonts w:eastAsia="仿宋_GB2312" w:hint="eastAsia"/>
          <w:sz w:val="30"/>
          <w:szCs w:val="30"/>
        </w:rPr>
        <w:t>万元，其中：</w:t>
      </w:r>
    </w:p>
    <w:p w:rsidR="00CE3A17" w:rsidRPr="00CE3A17" w:rsidRDefault="008908D9" w:rsidP="00CE3A17">
      <w:pPr>
        <w:spacing w:line="600" w:lineRule="exact"/>
        <w:ind w:firstLineChars="200" w:firstLine="600"/>
        <w:rPr>
          <w:rFonts w:eastAsia="仿宋_GB2312"/>
          <w:sz w:val="30"/>
          <w:szCs w:val="30"/>
        </w:rPr>
      </w:pPr>
      <w:r>
        <w:rPr>
          <w:rFonts w:eastAsia="仿宋_GB2312" w:hint="eastAsia"/>
          <w:sz w:val="30"/>
          <w:szCs w:val="30"/>
        </w:rPr>
        <w:t>科学技术</w:t>
      </w:r>
      <w:r w:rsidRPr="00E37F65">
        <w:rPr>
          <w:rFonts w:eastAsia="仿宋_GB2312"/>
          <w:sz w:val="30"/>
          <w:szCs w:val="30"/>
        </w:rPr>
        <w:t>支出</w:t>
      </w:r>
      <w:r>
        <w:rPr>
          <w:rFonts w:eastAsia="仿宋_GB2312" w:hint="eastAsia"/>
          <w:sz w:val="30"/>
          <w:szCs w:val="30"/>
        </w:rPr>
        <w:t>中行政运行</w:t>
      </w:r>
      <w:r w:rsidR="00CE3A17" w:rsidRPr="00CE3A17">
        <w:rPr>
          <w:rFonts w:eastAsia="仿宋_GB2312" w:hint="eastAsia"/>
          <w:sz w:val="30"/>
          <w:szCs w:val="30"/>
        </w:rPr>
        <w:t>科目支出</w:t>
      </w:r>
      <w:r>
        <w:rPr>
          <w:rFonts w:eastAsia="仿宋_GB2312" w:hint="eastAsia"/>
          <w:sz w:val="30"/>
          <w:szCs w:val="30"/>
        </w:rPr>
        <w:t>1096.45</w:t>
      </w:r>
      <w:r w:rsidR="00CE3A17" w:rsidRPr="00CE3A17">
        <w:rPr>
          <w:rFonts w:eastAsia="仿宋_GB2312" w:hint="eastAsia"/>
          <w:sz w:val="30"/>
          <w:szCs w:val="30"/>
        </w:rPr>
        <w:t>万元，主要用于</w:t>
      </w:r>
      <w:r>
        <w:rPr>
          <w:rFonts w:eastAsia="仿宋_GB2312" w:hint="eastAsia"/>
          <w:sz w:val="30"/>
          <w:szCs w:val="30"/>
        </w:rPr>
        <w:t>行政单位人员支出（包括工资福利支出、对个人和家庭的补助）和公用支出</w:t>
      </w:r>
      <w:r w:rsidR="00CE3A17" w:rsidRPr="00CE3A17">
        <w:rPr>
          <w:rFonts w:eastAsia="仿宋_GB2312" w:hint="eastAsia"/>
          <w:sz w:val="30"/>
          <w:szCs w:val="30"/>
        </w:rPr>
        <w:t>；</w:t>
      </w:r>
    </w:p>
    <w:p w:rsidR="00CE3A17" w:rsidRDefault="008908D9" w:rsidP="00CE3A17">
      <w:pPr>
        <w:spacing w:line="600" w:lineRule="exact"/>
        <w:ind w:firstLineChars="200" w:firstLine="600"/>
        <w:rPr>
          <w:rFonts w:eastAsia="仿宋_GB2312"/>
          <w:sz w:val="30"/>
          <w:szCs w:val="30"/>
        </w:rPr>
      </w:pPr>
      <w:r>
        <w:rPr>
          <w:rFonts w:eastAsia="仿宋_GB2312" w:hint="eastAsia"/>
          <w:sz w:val="30"/>
          <w:szCs w:val="30"/>
        </w:rPr>
        <w:t>科技条件与服务支出中机构运行</w:t>
      </w:r>
      <w:r w:rsidR="00CE3A17" w:rsidRPr="00CE3A17">
        <w:rPr>
          <w:rFonts w:eastAsia="仿宋_GB2312" w:hint="eastAsia"/>
          <w:sz w:val="30"/>
          <w:szCs w:val="30"/>
        </w:rPr>
        <w:t>科目支出</w:t>
      </w:r>
      <w:r>
        <w:rPr>
          <w:rFonts w:eastAsia="仿宋_GB2312" w:hint="eastAsia"/>
          <w:sz w:val="30"/>
          <w:szCs w:val="30"/>
        </w:rPr>
        <w:t>317.95</w:t>
      </w:r>
      <w:r w:rsidR="00CE3A17" w:rsidRPr="00CE3A17">
        <w:rPr>
          <w:rFonts w:eastAsia="仿宋_GB2312" w:hint="eastAsia"/>
          <w:sz w:val="30"/>
          <w:szCs w:val="30"/>
        </w:rPr>
        <w:t>万元，主要用于</w:t>
      </w:r>
      <w:r>
        <w:rPr>
          <w:rFonts w:eastAsia="仿宋_GB2312" w:hint="eastAsia"/>
          <w:sz w:val="30"/>
          <w:szCs w:val="30"/>
        </w:rPr>
        <w:t>事业单位人员支出（包括工资福利支出、对个人和家庭的补助）和公用支出。</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lastRenderedPageBreak/>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CE3A17" w:rsidRPr="00E37F65" w:rsidRDefault="00CE3A17" w:rsidP="00CE3A17">
      <w:pPr>
        <w:spacing w:line="600" w:lineRule="exact"/>
        <w:ind w:firstLineChars="200" w:firstLine="600"/>
        <w:rPr>
          <w:rFonts w:eastAsia="仿宋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008908D9">
        <w:rPr>
          <w:rFonts w:eastAsia="仿宋_GB2312" w:hint="eastAsia"/>
          <w:sz w:val="30"/>
          <w:szCs w:val="30"/>
        </w:rPr>
        <w:t>112.86</w:t>
      </w:r>
      <w:r w:rsidRPr="00E37F65">
        <w:rPr>
          <w:rFonts w:eastAsia="仿宋_GB2312"/>
          <w:sz w:val="30"/>
          <w:szCs w:val="30"/>
        </w:rPr>
        <w:t>万元</w:t>
      </w:r>
      <w:r>
        <w:rPr>
          <w:rFonts w:eastAsia="仿宋_GB2312" w:hint="eastAsia"/>
          <w:sz w:val="30"/>
          <w:szCs w:val="30"/>
        </w:rPr>
        <w:t>，</w:t>
      </w:r>
      <w:r w:rsidRPr="00E37F65">
        <w:rPr>
          <w:rFonts w:eastAsia="仿宋_GB2312"/>
          <w:sz w:val="30"/>
          <w:szCs w:val="30"/>
        </w:rPr>
        <w:t>包括办公费</w:t>
      </w:r>
      <w:r w:rsidR="008908D9">
        <w:rPr>
          <w:rFonts w:eastAsia="仿宋_GB2312" w:hint="eastAsia"/>
          <w:sz w:val="30"/>
          <w:szCs w:val="30"/>
        </w:rPr>
        <w:t>9.91</w:t>
      </w:r>
      <w:r w:rsidRPr="00E37F65">
        <w:rPr>
          <w:rFonts w:eastAsia="仿宋_GB2312"/>
          <w:sz w:val="30"/>
          <w:szCs w:val="30"/>
        </w:rPr>
        <w:t>万元、</w:t>
      </w:r>
      <w:r w:rsidR="008908D9">
        <w:rPr>
          <w:rFonts w:eastAsia="仿宋_GB2312" w:hint="eastAsia"/>
          <w:sz w:val="30"/>
          <w:szCs w:val="30"/>
        </w:rPr>
        <w:t>邮电</w:t>
      </w:r>
      <w:r w:rsidRPr="00E37F65">
        <w:rPr>
          <w:rFonts w:eastAsia="仿宋_GB2312"/>
          <w:sz w:val="30"/>
          <w:szCs w:val="30"/>
        </w:rPr>
        <w:t>费</w:t>
      </w:r>
      <w:r w:rsidR="008908D9">
        <w:rPr>
          <w:rFonts w:eastAsia="仿宋_GB2312" w:hint="eastAsia"/>
          <w:sz w:val="30"/>
          <w:szCs w:val="30"/>
        </w:rPr>
        <w:t>3</w:t>
      </w:r>
      <w:r w:rsidRPr="00E37F65">
        <w:rPr>
          <w:rFonts w:eastAsia="仿宋_GB2312"/>
          <w:sz w:val="30"/>
          <w:szCs w:val="30"/>
        </w:rPr>
        <w:t>万元</w:t>
      </w:r>
      <w:r w:rsidR="008908D9">
        <w:rPr>
          <w:rFonts w:eastAsia="仿宋_GB2312" w:hint="eastAsia"/>
          <w:sz w:val="30"/>
          <w:szCs w:val="30"/>
        </w:rPr>
        <w:t>、差旅费</w:t>
      </w:r>
      <w:r w:rsidR="008908D9">
        <w:rPr>
          <w:rFonts w:eastAsia="仿宋_GB2312" w:hint="eastAsia"/>
          <w:sz w:val="30"/>
          <w:szCs w:val="30"/>
        </w:rPr>
        <w:t>38.4</w:t>
      </w:r>
      <w:r w:rsidR="008908D9">
        <w:rPr>
          <w:rFonts w:eastAsia="仿宋_GB2312" w:hint="eastAsia"/>
          <w:sz w:val="30"/>
          <w:szCs w:val="30"/>
        </w:rPr>
        <w:t>万元、因公出国（境）费</w:t>
      </w:r>
      <w:r w:rsidR="008908D9">
        <w:rPr>
          <w:rFonts w:eastAsia="仿宋_GB2312" w:hint="eastAsia"/>
          <w:sz w:val="30"/>
          <w:szCs w:val="30"/>
        </w:rPr>
        <w:t>3.53</w:t>
      </w:r>
      <w:r w:rsidR="008908D9">
        <w:rPr>
          <w:rFonts w:eastAsia="仿宋_GB2312" w:hint="eastAsia"/>
          <w:sz w:val="30"/>
          <w:szCs w:val="30"/>
        </w:rPr>
        <w:t>万元、维修（护）费</w:t>
      </w:r>
      <w:r w:rsidR="008908D9">
        <w:rPr>
          <w:rFonts w:eastAsia="仿宋_GB2312" w:hint="eastAsia"/>
          <w:sz w:val="30"/>
          <w:szCs w:val="30"/>
        </w:rPr>
        <w:t>0.5</w:t>
      </w:r>
      <w:r w:rsidR="008908D9">
        <w:rPr>
          <w:rFonts w:eastAsia="仿宋_GB2312" w:hint="eastAsia"/>
          <w:sz w:val="30"/>
          <w:szCs w:val="30"/>
        </w:rPr>
        <w:t>万元、会议费</w:t>
      </w:r>
      <w:r w:rsidR="008908D9">
        <w:rPr>
          <w:rFonts w:eastAsia="仿宋_GB2312" w:hint="eastAsia"/>
          <w:sz w:val="30"/>
          <w:szCs w:val="30"/>
        </w:rPr>
        <w:t>2</w:t>
      </w:r>
      <w:r w:rsidR="008908D9">
        <w:rPr>
          <w:rFonts w:eastAsia="仿宋_GB2312" w:hint="eastAsia"/>
          <w:sz w:val="30"/>
          <w:szCs w:val="30"/>
        </w:rPr>
        <w:t>万元、培训费</w:t>
      </w:r>
      <w:r w:rsidR="008908D9">
        <w:rPr>
          <w:rFonts w:eastAsia="仿宋_GB2312" w:hint="eastAsia"/>
          <w:sz w:val="30"/>
          <w:szCs w:val="30"/>
        </w:rPr>
        <w:t>0.6</w:t>
      </w:r>
      <w:r w:rsidR="008908D9">
        <w:rPr>
          <w:rFonts w:eastAsia="仿宋_GB2312" w:hint="eastAsia"/>
          <w:sz w:val="30"/>
          <w:szCs w:val="30"/>
        </w:rPr>
        <w:t>万元、接待费</w:t>
      </w:r>
      <w:r w:rsidR="008908D9">
        <w:rPr>
          <w:rFonts w:eastAsia="仿宋_GB2312" w:hint="eastAsia"/>
          <w:sz w:val="30"/>
          <w:szCs w:val="30"/>
        </w:rPr>
        <w:t>0.62</w:t>
      </w:r>
      <w:r w:rsidR="008908D9">
        <w:rPr>
          <w:rFonts w:eastAsia="仿宋_GB2312" w:hint="eastAsia"/>
          <w:sz w:val="30"/>
          <w:szCs w:val="30"/>
        </w:rPr>
        <w:t>万元、工会经费</w:t>
      </w:r>
      <w:r w:rsidR="008908D9">
        <w:rPr>
          <w:rFonts w:eastAsia="仿宋_GB2312" w:hint="eastAsia"/>
          <w:sz w:val="30"/>
          <w:szCs w:val="30"/>
        </w:rPr>
        <w:t>9.07</w:t>
      </w:r>
      <w:r w:rsidR="008908D9">
        <w:rPr>
          <w:rFonts w:eastAsia="仿宋_GB2312" w:hint="eastAsia"/>
          <w:sz w:val="30"/>
          <w:szCs w:val="30"/>
        </w:rPr>
        <w:t>万元、福利费</w:t>
      </w:r>
      <w:r w:rsidR="008908D9">
        <w:rPr>
          <w:rFonts w:eastAsia="仿宋_GB2312" w:hint="eastAsia"/>
          <w:sz w:val="30"/>
          <w:szCs w:val="30"/>
        </w:rPr>
        <w:t>12.58</w:t>
      </w:r>
      <w:r w:rsidR="008908D9">
        <w:rPr>
          <w:rFonts w:eastAsia="仿宋_GB2312" w:hint="eastAsia"/>
          <w:sz w:val="30"/>
          <w:szCs w:val="30"/>
        </w:rPr>
        <w:t>万元、其他交通费</w:t>
      </w:r>
      <w:r w:rsidR="008908D9">
        <w:rPr>
          <w:rFonts w:eastAsia="仿宋_GB2312" w:hint="eastAsia"/>
          <w:sz w:val="30"/>
          <w:szCs w:val="30"/>
        </w:rPr>
        <w:t>32.65</w:t>
      </w:r>
      <w:r w:rsidR="008908D9">
        <w:rPr>
          <w:rFonts w:eastAsia="仿宋_GB2312" w:hint="eastAsia"/>
          <w:sz w:val="30"/>
          <w:szCs w:val="30"/>
        </w:rPr>
        <w:t>万元</w:t>
      </w:r>
      <w:r w:rsidR="005C264A">
        <w:rPr>
          <w:rFonts w:eastAsia="仿宋_GB2312" w:hint="eastAsia"/>
          <w:sz w:val="30"/>
          <w:szCs w:val="30"/>
        </w:rPr>
        <w:t>。</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（二）政府采购情况</w:t>
      </w:r>
    </w:p>
    <w:p w:rsidR="00CE3A17" w:rsidRDefault="00CE3A17" w:rsidP="00CE3A17">
      <w:pPr>
        <w:spacing w:line="580" w:lineRule="exact"/>
        <w:ind w:firstLineChars="200" w:firstLine="600"/>
        <w:rPr>
          <w:rFonts w:eastAsia="楷体_GB2312"/>
          <w:sz w:val="30"/>
          <w:szCs w:val="30"/>
        </w:rPr>
      </w:pPr>
      <w:r w:rsidRPr="00E37F65">
        <w:rPr>
          <w:rFonts w:eastAsia="楷体_GB2312"/>
          <w:sz w:val="30"/>
          <w:szCs w:val="30"/>
        </w:rPr>
        <w:t>本部门</w:t>
      </w:r>
      <w:r>
        <w:rPr>
          <w:rFonts w:eastAsia="楷体_GB2312"/>
          <w:sz w:val="30"/>
          <w:szCs w:val="30"/>
        </w:rPr>
        <w:t>20</w:t>
      </w:r>
      <w:r>
        <w:rPr>
          <w:rFonts w:eastAsia="楷体_GB2312" w:hint="eastAsia"/>
          <w:sz w:val="30"/>
          <w:szCs w:val="30"/>
        </w:rPr>
        <w:t>20</w:t>
      </w:r>
      <w:r>
        <w:rPr>
          <w:rFonts w:eastAsia="楷体_GB2312"/>
          <w:sz w:val="30"/>
          <w:szCs w:val="30"/>
        </w:rPr>
        <w:t>年</w:t>
      </w:r>
      <w:r>
        <w:rPr>
          <w:rFonts w:eastAsia="楷体_GB2312" w:hint="eastAsia"/>
          <w:sz w:val="30"/>
          <w:szCs w:val="30"/>
        </w:rPr>
        <w:t>未安排</w:t>
      </w:r>
      <w:r>
        <w:rPr>
          <w:rFonts w:eastAsia="楷体_GB2312"/>
          <w:sz w:val="30"/>
          <w:szCs w:val="30"/>
        </w:rPr>
        <w:t>政府采购</w:t>
      </w:r>
      <w:r>
        <w:rPr>
          <w:rFonts w:eastAsia="楷体_GB2312" w:hint="eastAsia"/>
          <w:sz w:val="30"/>
          <w:szCs w:val="30"/>
        </w:rPr>
        <w:t>预算</w:t>
      </w:r>
      <w:r w:rsidRPr="00E37F65">
        <w:rPr>
          <w:rFonts w:eastAsia="楷体_GB2312"/>
          <w:sz w:val="30"/>
          <w:szCs w:val="30"/>
        </w:rPr>
        <w:t>。</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CE3A17" w:rsidRDefault="00CE3A17" w:rsidP="005C264A">
      <w:pPr>
        <w:spacing w:line="580" w:lineRule="exact"/>
        <w:ind w:firstLineChars="200" w:firstLine="600"/>
        <w:rPr>
          <w:rFonts w:ascii="仿宋_GB2312" w:eastAsia="仿宋_GB2312" w:hAnsi="宋体" w:cs="仿宋_GB2312"/>
          <w:color w:val="000000"/>
          <w:sz w:val="30"/>
          <w:szCs w:val="30"/>
        </w:rPr>
      </w:pPr>
      <w:r w:rsidRPr="002F0F49">
        <w:rPr>
          <w:rFonts w:eastAsia="仿宋_GB2312"/>
          <w:color w:val="000000"/>
          <w:sz w:val="30"/>
          <w:szCs w:val="30"/>
        </w:rPr>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Pr>
          <w:rFonts w:eastAsia="仿宋_GB2312" w:hint="eastAsia"/>
          <w:sz w:val="30"/>
          <w:szCs w:val="30"/>
        </w:rPr>
        <w:t>本</w:t>
      </w:r>
      <w:r w:rsidRPr="002F0F49">
        <w:rPr>
          <w:rFonts w:eastAsia="仿宋_GB2312"/>
          <w:sz w:val="30"/>
          <w:szCs w:val="30"/>
        </w:rPr>
        <w:t>部门</w:t>
      </w:r>
      <w:r w:rsidRPr="002F0F49">
        <w:rPr>
          <w:rFonts w:eastAsia="仿宋_GB2312"/>
          <w:color w:val="000000"/>
          <w:sz w:val="30"/>
          <w:szCs w:val="30"/>
        </w:rPr>
        <w:t>各单位共有车辆</w:t>
      </w:r>
      <w:r w:rsidR="005C264A">
        <w:rPr>
          <w:rFonts w:eastAsia="仿宋_GB2312" w:hint="eastAsia"/>
          <w:color w:val="000000"/>
          <w:sz w:val="30"/>
          <w:szCs w:val="30"/>
        </w:rPr>
        <w:t>2</w:t>
      </w:r>
      <w:r w:rsidRPr="002F0F49">
        <w:rPr>
          <w:rFonts w:eastAsia="仿宋_GB2312"/>
          <w:color w:val="000000"/>
          <w:sz w:val="30"/>
          <w:szCs w:val="30"/>
        </w:rPr>
        <w:t>辆，其中：</w:t>
      </w:r>
      <w:r>
        <w:rPr>
          <w:rFonts w:ascii="仿宋_GB2312" w:eastAsia="仿宋_GB2312" w:hAnsi="宋体" w:cs="仿宋_GB2312" w:hint="eastAsia"/>
          <w:color w:val="000000"/>
          <w:sz w:val="30"/>
          <w:szCs w:val="30"/>
        </w:rPr>
        <w:t>其中：副部（省）级及以上领导用车</w:t>
      </w:r>
      <w:r w:rsidR="005C264A">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辆、主要领导干部用车</w:t>
      </w:r>
      <w:r w:rsidR="005C264A">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辆、机要通信用车</w:t>
      </w:r>
      <w:r w:rsidR="005C264A">
        <w:rPr>
          <w:rFonts w:ascii="仿宋_GB2312" w:eastAsia="仿宋_GB2312" w:hAnsi="宋体" w:cs="仿宋_GB2312" w:hint="eastAsia"/>
          <w:color w:val="000000"/>
          <w:sz w:val="30"/>
          <w:szCs w:val="30"/>
        </w:rPr>
        <w:t>0</w:t>
      </w:r>
      <w:r>
        <w:rPr>
          <w:rFonts w:ascii="仿宋_GB2312" w:eastAsia="仿宋_GB2312" w:hint="eastAsia"/>
          <w:sz w:val="30"/>
          <w:szCs w:val="30"/>
        </w:rPr>
        <w:t>辆、应急保障用车</w:t>
      </w:r>
      <w:r w:rsidR="005C264A">
        <w:rPr>
          <w:rFonts w:ascii="仿宋_GB2312" w:eastAsia="仿宋_GB2312" w:hint="eastAsia"/>
          <w:sz w:val="30"/>
          <w:szCs w:val="30"/>
        </w:rPr>
        <w:t>0</w:t>
      </w:r>
      <w:r>
        <w:rPr>
          <w:rFonts w:ascii="仿宋_GB2312" w:eastAsia="仿宋_GB2312" w:hint="eastAsia"/>
          <w:sz w:val="30"/>
          <w:szCs w:val="30"/>
        </w:rPr>
        <w:t>辆、执法执勤用车</w:t>
      </w:r>
      <w:r w:rsidR="005C264A">
        <w:rPr>
          <w:rFonts w:ascii="仿宋_GB2312" w:eastAsia="仿宋_GB2312" w:hint="eastAsia"/>
          <w:sz w:val="30"/>
          <w:szCs w:val="30"/>
        </w:rPr>
        <w:t>0</w:t>
      </w:r>
      <w:r>
        <w:rPr>
          <w:rFonts w:ascii="仿宋_GB2312" w:eastAsia="仿宋_GB2312" w:hint="eastAsia"/>
          <w:sz w:val="30"/>
          <w:szCs w:val="30"/>
        </w:rPr>
        <w:t>辆、特种专业技术用车</w:t>
      </w:r>
      <w:r w:rsidR="005C264A">
        <w:rPr>
          <w:rFonts w:ascii="仿宋_GB2312" w:eastAsia="仿宋_GB2312" w:hint="eastAsia"/>
          <w:sz w:val="30"/>
          <w:szCs w:val="30"/>
        </w:rPr>
        <w:t>1</w:t>
      </w:r>
      <w:r>
        <w:rPr>
          <w:rFonts w:ascii="仿宋_GB2312" w:eastAsia="仿宋_GB2312" w:hint="eastAsia"/>
          <w:sz w:val="30"/>
          <w:szCs w:val="30"/>
        </w:rPr>
        <w:t>辆、离退休干部用车</w:t>
      </w:r>
      <w:r w:rsidR="005C264A">
        <w:rPr>
          <w:rFonts w:ascii="仿宋_GB2312" w:eastAsia="仿宋_GB2312" w:hint="eastAsia"/>
          <w:sz w:val="30"/>
          <w:szCs w:val="30"/>
        </w:rPr>
        <w:t>0</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sidR="005C264A">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sidR="005C264A">
        <w:rPr>
          <w:rFonts w:ascii="仿宋_GB2312" w:eastAsia="仿宋_GB2312" w:hint="eastAsia"/>
          <w:sz w:val="30"/>
          <w:szCs w:val="30"/>
        </w:rPr>
        <w:t>事业单位原公务出行用车</w:t>
      </w:r>
      <w:r w:rsidR="005C264A">
        <w:rPr>
          <w:rFonts w:eastAsia="仿宋_GB2312" w:hint="eastAsia"/>
          <w:color w:val="000000"/>
          <w:sz w:val="30"/>
          <w:szCs w:val="30"/>
        </w:rPr>
        <w:t>已拍卖，待区财政局批复核销资产</w:t>
      </w:r>
      <w:r>
        <w:rPr>
          <w:rFonts w:ascii="仿宋_GB2312" w:eastAsia="仿宋_GB2312" w:hAnsi="宋体" w:cs="仿宋_GB2312" w:hint="eastAsia"/>
          <w:color w:val="000000"/>
          <w:sz w:val="30"/>
          <w:szCs w:val="30"/>
        </w:rPr>
        <w:t>。单价50万元以上的通用设备</w:t>
      </w:r>
      <w:r w:rsidR="005C264A">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台（套），单价100万元以上的专用设备</w:t>
      </w:r>
      <w:r w:rsidR="005C264A">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台（套）。</w:t>
      </w:r>
    </w:p>
    <w:p w:rsidR="00146288" w:rsidRPr="00E37F65" w:rsidRDefault="00146288" w:rsidP="00CE3A17">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CE3A17" w:rsidRPr="009970B7" w:rsidRDefault="00CE3A17" w:rsidP="00CE3A17">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年，本部门实行绩效目标管理的项目</w:t>
      </w:r>
      <w:r w:rsidR="005C264A">
        <w:rPr>
          <w:rFonts w:eastAsia="仿宋_GB2312" w:hint="eastAsia"/>
          <w:color w:val="000000"/>
          <w:sz w:val="30"/>
          <w:szCs w:val="30"/>
        </w:rPr>
        <w:t>0</w:t>
      </w:r>
      <w:r w:rsidRPr="009970B7">
        <w:rPr>
          <w:rFonts w:eastAsia="仿宋_GB2312"/>
          <w:color w:val="000000"/>
          <w:sz w:val="30"/>
          <w:szCs w:val="30"/>
        </w:rPr>
        <w:t>个，涉及预算金额</w:t>
      </w:r>
      <w:r w:rsidR="005C264A">
        <w:rPr>
          <w:rFonts w:eastAsia="仿宋_GB2312" w:hint="eastAsia"/>
          <w:color w:val="000000"/>
          <w:sz w:val="30"/>
          <w:szCs w:val="30"/>
        </w:rPr>
        <w:t>0</w:t>
      </w:r>
      <w:r w:rsidRPr="009970B7">
        <w:rPr>
          <w:rFonts w:eastAsia="仿宋_GB2312"/>
          <w:color w:val="000000"/>
          <w:sz w:val="30"/>
          <w:szCs w:val="30"/>
        </w:rPr>
        <w:t>万元</w:t>
      </w:r>
      <w:r>
        <w:rPr>
          <w:rFonts w:eastAsia="仿宋_GB2312" w:hint="eastAsia"/>
          <w:color w:val="000000"/>
          <w:sz w:val="30"/>
          <w:szCs w:val="30"/>
        </w:rPr>
        <w:t>。</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）专业性名词解释</w:t>
      </w:r>
    </w:p>
    <w:p w:rsidR="00CE3A17" w:rsidRDefault="00CE3A17" w:rsidP="00CE3A17">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w:t>
      </w:r>
      <w:r>
        <w:rPr>
          <w:rFonts w:eastAsia="仿宋_GB2312" w:hint="eastAsia"/>
          <w:sz w:val="30"/>
          <w:szCs w:val="30"/>
        </w:rPr>
        <w:lastRenderedPageBreak/>
        <w:t>定及其行使职能需要，组织所属预算单位编制并逐级上报、审核、汇总，经财政部门审核后按程序依法批准的部门综合收支计划。</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1.</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年财政拨款政府性基金预算支出预算表</w:t>
      </w:r>
      <w:r w:rsidRPr="000124B4">
        <w:rPr>
          <w:rFonts w:eastAsia="楷体_GB2312" w:hint="eastAsia"/>
          <w:sz w:val="30"/>
          <w:szCs w:val="30"/>
        </w:rPr>
        <w:t>为空表。</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2.</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年财政拨款项目支出预算表</w:t>
      </w:r>
      <w:r w:rsidRPr="000124B4">
        <w:rPr>
          <w:rFonts w:eastAsia="楷体_GB2312" w:hint="eastAsia"/>
          <w:sz w:val="30"/>
          <w:szCs w:val="30"/>
        </w:rPr>
        <w:t>为空表。</w:t>
      </w:r>
    </w:p>
    <w:p w:rsidR="00146288" w:rsidRPr="00C64EC0"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3.</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w:t>
      </w:r>
      <w:r w:rsidR="002D062E" w:rsidRPr="002D062E">
        <w:rPr>
          <w:rFonts w:eastAsia="楷体_GB2312" w:hint="eastAsia"/>
          <w:sz w:val="30"/>
          <w:szCs w:val="30"/>
        </w:rPr>
        <w:t>政府采购预算表</w:t>
      </w:r>
      <w:r w:rsidR="002D062E">
        <w:rPr>
          <w:rFonts w:eastAsia="楷体_GB2312" w:hint="eastAsia"/>
          <w:sz w:val="30"/>
          <w:szCs w:val="30"/>
        </w:rPr>
        <w:t>为空表</w:t>
      </w:r>
      <w:bookmarkStart w:id="0" w:name="_GoBack"/>
      <w:bookmarkEnd w:id="0"/>
      <w:r w:rsidRPr="000124B4">
        <w:rPr>
          <w:rFonts w:eastAsia="楷体_GB2312" w:hint="eastAsia"/>
          <w:sz w:val="30"/>
          <w:szCs w:val="30"/>
        </w:rPr>
        <w:t>。</w:t>
      </w:r>
    </w:p>
    <w:p w:rsidR="00A34EBA" w:rsidRPr="00A34EBA" w:rsidRDefault="00A34EBA" w:rsidP="00A34EBA">
      <w:pPr>
        <w:spacing w:line="600" w:lineRule="exact"/>
        <w:ind w:firstLineChars="200" w:firstLine="602"/>
        <w:rPr>
          <w:rFonts w:eastAsia="楷体_GB2312"/>
          <w:b/>
          <w:sz w:val="30"/>
          <w:szCs w:val="30"/>
        </w:rPr>
      </w:pPr>
      <w:r w:rsidRPr="00A34EBA">
        <w:rPr>
          <w:rFonts w:eastAsia="楷体_GB2312" w:hint="eastAsia"/>
          <w:b/>
          <w:sz w:val="30"/>
          <w:szCs w:val="30"/>
        </w:rPr>
        <w:t>（七）关于项目情况的说明</w:t>
      </w:r>
    </w:p>
    <w:p w:rsidR="00A34EBA" w:rsidRPr="008A2192" w:rsidRDefault="00A34EBA" w:rsidP="00A34EBA">
      <w:pPr>
        <w:spacing w:line="580" w:lineRule="exact"/>
        <w:ind w:firstLineChars="200" w:firstLine="600"/>
        <w:rPr>
          <w:rFonts w:eastAsia="楷体_GB2312"/>
          <w:sz w:val="30"/>
          <w:szCs w:val="30"/>
        </w:rPr>
      </w:pPr>
      <w:r w:rsidRPr="00E37F65">
        <w:rPr>
          <w:rFonts w:eastAsia="楷体_GB2312"/>
          <w:sz w:val="30"/>
          <w:szCs w:val="30"/>
        </w:rPr>
        <w:t>本部门</w:t>
      </w:r>
      <w:r>
        <w:rPr>
          <w:rFonts w:eastAsia="楷体_GB2312"/>
          <w:sz w:val="30"/>
          <w:szCs w:val="30"/>
        </w:rPr>
        <w:t>20</w:t>
      </w:r>
      <w:r>
        <w:rPr>
          <w:rFonts w:eastAsia="楷体_GB2312" w:hint="eastAsia"/>
          <w:sz w:val="30"/>
          <w:szCs w:val="30"/>
        </w:rPr>
        <w:t>20</w:t>
      </w:r>
      <w:r>
        <w:rPr>
          <w:rFonts w:eastAsia="楷体_GB2312"/>
          <w:sz w:val="30"/>
          <w:szCs w:val="30"/>
        </w:rPr>
        <w:t>年</w:t>
      </w:r>
      <w:r>
        <w:rPr>
          <w:rFonts w:eastAsia="楷体_GB2312" w:hint="eastAsia"/>
          <w:sz w:val="30"/>
          <w:szCs w:val="30"/>
        </w:rPr>
        <w:t>未安排项目支出。</w:t>
      </w:r>
    </w:p>
    <w:p w:rsidR="00A34EBA" w:rsidRDefault="00A34EBA" w:rsidP="00A34EBA">
      <w:pPr>
        <w:spacing w:line="600" w:lineRule="exact"/>
        <w:ind w:firstLineChars="200" w:firstLine="420"/>
      </w:pPr>
    </w:p>
    <w:sectPr w:rsidR="00A34EBA"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CE" w:rsidRDefault="00B92ACE" w:rsidP="00EC498D">
      <w:r>
        <w:separator/>
      </w:r>
    </w:p>
  </w:endnote>
  <w:endnote w:type="continuationSeparator" w:id="1">
    <w:p w:rsidR="00B92ACE" w:rsidRDefault="00B92ACE" w:rsidP="00EC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ngLiU">
    <w:altName w:val="細明體"/>
    <w:panose1 w:val="02020309000000000000"/>
    <w:charset w:val="88"/>
    <w:family w:val="modern"/>
    <w:notTrueType/>
    <w:pitch w:val="fixed"/>
    <w:sig w:usb0="00000001" w:usb1="08080000" w:usb2="00000010" w:usb3="00000000" w:csb0="001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2B24FA"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B92ACE"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B92ACE"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CE" w:rsidRDefault="00B92ACE" w:rsidP="00EC498D">
      <w:r>
        <w:separator/>
      </w:r>
    </w:p>
  </w:footnote>
  <w:footnote w:type="continuationSeparator" w:id="1">
    <w:p w:rsidR="00B92ACE" w:rsidRDefault="00B92ACE"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B92ACE" w:rsidP="00937D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F94"/>
    <w:rsid w:val="000124B4"/>
    <w:rsid w:val="0012226B"/>
    <w:rsid w:val="00146288"/>
    <w:rsid w:val="0016768A"/>
    <w:rsid w:val="00177894"/>
    <w:rsid w:val="001C6249"/>
    <w:rsid w:val="001E4471"/>
    <w:rsid w:val="001E4658"/>
    <w:rsid w:val="00267AED"/>
    <w:rsid w:val="00280596"/>
    <w:rsid w:val="00280F94"/>
    <w:rsid w:val="002B24FA"/>
    <w:rsid w:val="002B2CE0"/>
    <w:rsid w:val="002D062E"/>
    <w:rsid w:val="002F2F18"/>
    <w:rsid w:val="00383807"/>
    <w:rsid w:val="004949B1"/>
    <w:rsid w:val="00572D96"/>
    <w:rsid w:val="005C264A"/>
    <w:rsid w:val="005C395E"/>
    <w:rsid w:val="006D47A9"/>
    <w:rsid w:val="00715238"/>
    <w:rsid w:val="007222EE"/>
    <w:rsid w:val="00782119"/>
    <w:rsid w:val="0083495A"/>
    <w:rsid w:val="00865F07"/>
    <w:rsid w:val="008908D9"/>
    <w:rsid w:val="00944B66"/>
    <w:rsid w:val="00A34EBA"/>
    <w:rsid w:val="00A64C49"/>
    <w:rsid w:val="00B92ACE"/>
    <w:rsid w:val="00BD7440"/>
    <w:rsid w:val="00C01D5E"/>
    <w:rsid w:val="00CE3A17"/>
    <w:rsid w:val="00D313D3"/>
    <w:rsid w:val="00D85076"/>
    <w:rsid w:val="00D9235E"/>
    <w:rsid w:val="00DE7CED"/>
    <w:rsid w:val="00EC498D"/>
    <w:rsid w:val="00F16D02"/>
    <w:rsid w:val="00F564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 w:type="character" w:customStyle="1" w:styleId="a8">
    <w:name w:val="正文文本_"/>
    <w:basedOn w:val="a0"/>
    <w:link w:val="1"/>
    <w:uiPriority w:val="99"/>
    <w:qFormat/>
    <w:locked/>
    <w:rsid w:val="001E4471"/>
    <w:rPr>
      <w:rFonts w:ascii="MingLiU" w:eastAsia="MingLiU" w:hAnsi="MingLiU" w:cs="MingLiU"/>
      <w:shd w:val="clear" w:color="auto" w:fill="FFFFFF"/>
      <w:lang w:val="zh-CN"/>
    </w:rPr>
  </w:style>
  <w:style w:type="paragraph" w:customStyle="1" w:styleId="1">
    <w:name w:val="正文文本1"/>
    <w:basedOn w:val="a"/>
    <w:link w:val="a8"/>
    <w:uiPriority w:val="99"/>
    <w:qFormat/>
    <w:rsid w:val="001E4471"/>
    <w:pPr>
      <w:shd w:val="clear" w:color="auto" w:fill="FFFFFF"/>
      <w:spacing w:line="360" w:lineRule="auto"/>
      <w:ind w:firstLine="400"/>
      <w:jc w:val="left"/>
    </w:pPr>
    <w:rPr>
      <w:rFonts w:ascii="MingLiU" w:eastAsia="MingLiU" w:hAnsi="MingLiU" w:cs="MingLiU"/>
      <w:lang w:val="zh-CN"/>
    </w:rPr>
  </w:style>
  <w:style w:type="character" w:customStyle="1" w:styleId="2">
    <w:name w:val="正文文本 (2)_"/>
    <w:basedOn w:val="a0"/>
    <w:link w:val="20"/>
    <w:locked/>
    <w:rsid w:val="001E4471"/>
    <w:rPr>
      <w:rFonts w:ascii="MingLiU" w:eastAsia="MingLiU" w:hAnsi="MingLiU" w:cs="MingLiU"/>
      <w:shd w:val="clear" w:color="auto" w:fill="FFFFFF"/>
      <w:lang w:val="zh-CN"/>
    </w:rPr>
  </w:style>
  <w:style w:type="paragraph" w:customStyle="1" w:styleId="20">
    <w:name w:val="正文文本 (2)"/>
    <w:basedOn w:val="a"/>
    <w:link w:val="2"/>
    <w:rsid w:val="001E4471"/>
    <w:pPr>
      <w:shd w:val="clear" w:color="auto" w:fill="FFFFFF"/>
      <w:spacing w:line="460" w:lineRule="exact"/>
      <w:ind w:right="820" w:firstLine="720"/>
      <w:jc w:val="distribute"/>
    </w:pPr>
    <w:rPr>
      <w:rFonts w:ascii="MingLiU" w:eastAsia="MingLiU" w:hAnsi="MingLiU" w:cs="MingLiU"/>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396</Words>
  <Characters>2259</Characters>
  <Application>Microsoft Office Word</Application>
  <DocSecurity>0</DocSecurity>
  <Lines>18</Lines>
  <Paragraphs>5</Paragraphs>
  <ScaleCrop>false</ScaleCrop>
  <Company>微软中国</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张青</cp:lastModifiedBy>
  <cp:revision>8</cp:revision>
  <cp:lastPrinted>2020-02-04T12:44:00Z</cp:lastPrinted>
  <dcterms:created xsi:type="dcterms:W3CDTF">2020-02-04T12:29:00Z</dcterms:created>
  <dcterms:modified xsi:type="dcterms:W3CDTF">2020-02-12T01:03:00Z</dcterms:modified>
</cp:coreProperties>
</file>